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1C" w:rsidRPr="00562AF7" w:rsidRDefault="00E46B33" w:rsidP="00B9011C">
      <w:pPr>
        <w:tabs>
          <w:tab w:val="left" w:pos="5954"/>
        </w:tabs>
        <w:spacing w:after="200"/>
        <w:jc w:val="both"/>
        <w:rPr>
          <w:rFonts w:eastAsia="Calibri"/>
          <w:bCs/>
          <w:kern w:val="0"/>
          <w:szCs w:val="21"/>
          <w:lang w:val="es-ES"/>
        </w:rPr>
      </w:pPr>
      <w:fldSimple w:instr=" DOCPROPERTY  PWThreadMemo  \* MERGEFORMAT ">
        <w:r w:rsidR="001A6D6B" w:rsidRPr="00562AF7">
          <w:rPr>
            <w:szCs w:val="21"/>
            <w:lang w:val="es-ES"/>
          </w:rPr>
          <w:t>EN(21)1217:2</w:t>
        </w:r>
      </w:fldSimple>
      <w:r w:rsidR="0086543E" w:rsidRPr="00562AF7">
        <w:rPr>
          <w:lang w:val="es-ES"/>
        </w:rPr>
        <w:t xml:space="preserve"> – DK/rd                                                                            Bruksela, 22 marca 2021 r.</w:t>
      </w:r>
    </w:p>
    <w:p w:rsidR="00B9011C" w:rsidRPr="00562AF7" w:rsidRDefault="00B9011C" w:rsidP="00B9011C">
      <w:pPr>
        <w:spacing w:line="240" w:lineRule="auto"/>
        <w:jc w:val="both"/>
        <w:rPr>
          <w:b/>
          <w:sz w:val="32"/>
          <w:szCs w:val="32"/>
          <w:lang w:val="es-ES"/>
        </w:rPr>
      </w:pPr>
    </w:p>
    <w:p w:rsidR="00B9011C" w:rsidRPr="004C78B2" w:rsidRDefault="00B9011C" w:rsidP="00B9011C">
      <w:pPr>
        <w:spacing w:line="240" w:lineRule="auto"/>
        <w:jc w:val="center"/>
        <w:rPr>
          <w:b/>
          <w:sz w:val="32"/>
          <w:szCs w:val="32"/>
        </w:rPr>
      </w:pPr>
      <w:r w:rsidRPr="004C78B2">
        <w:rPr>
          <w:b/>
          <w:sz w:val="32"/>
          <w:szCs w:val="32"/>
        </w:rPr>
        <w:t>Projekt refleksji</w:t>
      </w:r>
    </w:p>
    <w:p w:rsidR="00B9011C" w:rsidRPr="004C78B2" w:rsidRDefault="00B9011C" w:rsidP="00B9011C">
      <w:pPr>
        <w:jc w:val="center"/>
        <w:rPr>
          <w:b/>
          <w:sz w:val="32"/>
          <w:szCs w:val="32"/>
        </w:rPr>
      </w:pPr>
      <w:r w:rsidRPr="004C78B2">
        <w:rPr>
          <w:b/>
          <w:sz w:val="32"/>
          <w:szCs w:val="32"/>
        </w:rPr>
        <w:t>w sprawie strategii UE na rzecz ograniczenia emisji metanu</w:t>
      </w:r>
    </w:p>
    <w:p w:rsidR="00B9011C" w:rsidRPr="004C78B2" w:rsidRDefault="00B9011C" w:rsidP="00B9011C">
      <w:pPr>
        <w:spacing w:before="100" w:beforeAutospacing="1"/>
        <w:jc w:val="both"/>
        <w:rPr>
          <w:bCs/>
          <w:sz w:val="22"/>
          <w:szCs w:val="22"/>
        </w:rPr>
      </w:pPr>
    </w:p>
    <w:p w:rsidR="00B9011C" w:rsidRPr="004C78B2" w:rsidRDefault="00B9011C" w:rsidP="00B9011C">
      <w:pPr>
        <w:spacing w:before="100" w:beforeAutospacing="1" w:line="240" w:lineRule="auto"/>
        <w:rPr>
          <w:b/>
          <w:sz w:val="24"/>
        </w:rPr>
      </w:pPr>
      <w:r w:rsidRPr="004C78B2">
        <w:rPr>
          <w:b/>
          <w:sz w:val="24"/>
        </w:rPr>
        <w:t>Zarządzanie emisjami metanu</w:t>
      </w:r>
    </w:p>
    <w:p w:rsidR="00B9011C" w:rsidRPr="004C78B2" w:rsidRDefault="00B9011C" w:rsidP="00B9011C">
      <w:pPr>
        <w:spacing w:before="100" w:beforeAutospacing="1" w:line="240" w:lineRule="auto"/>
        <w:rPr>
          <w:bCs/>
          <w:szCs w:val="21"/>
        </w:rPr>
      </w:pPr>
      <w:r w:rsidRPr="004C78B2">
        <w:t>Komunikat Komisji w sprawie strategii UE na rzecz ograniczenia emisji metanu z dn. 14</w:t>
      </w:r>
      <w:r w:rsidR="006E75FE" w:rsidRPr="004C78B2">
        <w:t> </w:t>
      </w:r>
      <w:r w:rsidRPr="004C78B2">
        <w:t>października 2020 r. jest kamieniem milowym na drodze ku zarządzaniu emisjami gazów cieplarnianych innych niż CO2 w Unii. Został on opublikowany ćwierć wieku po przyjęciu ostatniego strategicznego dokumentu dotyczącego metanu w 1996 r. Lata 90. zapoczątkowały trajektorię znacznej redukcji emisji metanu w całej UE, dzięki czemu unijny sektor rolny mógł rozpocząć oddzielanie wpływu na środowisko od wzrostu gospodarczego. Produktywność w UE wzrosła ogólnie o 25% od 1990 roku, a emisje gazów cieplarnianych zmniejszyły się o 20% w tym samym okresie. Sektor rolny odgrywa niezmiernie ważną rolę w redukcji biogenicznych emisji metanu. Należy utrzymać wysiłki sektora rolnego przy zastosowaniu uczciwego, międzysektorowego podejścia, zgodnego z celami Europejskiego Zielonego Ładu i strategii „od pola do stołu”. Ponadto muszą one być poparte ukierunkowanymi badaniami w ramach programu Horyzont Europa.</w:t>
      </w:r>
    </w:p>
    <w:p w:rsidR="00B9011C" w:rsidRPr="00B91854" w:rsidRDefault="00B9011C" w:rsidP="00B9011C">
      <w:pPr>
        <w:spacing w:before="100" w:beforeAutospacing="1" w:line="240" w:lineRule="auto"/>
        <w:rPr>
          <w:bCs/>
          <w:szCs w:val="21"/>
        </w:rPr>
      </w:pPr>
      <w:r w:rsidRPr="004C78B2">
        <w:t xml:space="preserve">Europejski sektor rolny jest w stanie udostępnić szereg możliwych rozwiązań w zakresie redukcji emisji gazów cieplarnianych, zwiększając na przykład sekwestrację dwutlenku węgla netto i podtrzymując społeczności wiejskie w ramach biogospodarki o obiegu zamkniętym. Nie będzie to jednak możliwe bez środków technologicznych i finansowych oraz przyjaznych ram polityki, które wezmą pod uwagę różne struktury rolne, warunki produkcji i cechy regionalne występujące w poszczególnych państwach członkowskich UE. Trwa </w:t>
      </w:r>
      <w:r w:rsidR="006E75FE" w:rsidRPr="004C78B2">
        <w:t xml:space="preserve">obecnie </w:t>
      </w:r>
      <w:r w:rsidRPr="004C78B2">
        <w:t>przegląd zarządzania emisjami metanu na szczeblu UE. Jest to okazja do stworzenia prostszego i przyjaźniejszego środowiska politycznego. Copa i Cogeca wzywają Komisję do zapewnienia synergii między przepisami w zakresie klimatu, jak np. rozporządzenie w sprawie wspólnego wysiłku redukcyjnego, i dyrektywą w sprawie emisji przemysłowych, jednocześnie unikając podwójnych uregulowań.</w:t>
      </w:r>
    </w:p>
    <w:p w:rsidR="00B9011C" w:rsidRPr="004C78B2" w:rsidRDefault="00B9011C" w:rsidP="00B9011C">
      <w:pPr>
        <w:spacing w:before="100" w:beforeAutospacing="1" w:line="240" w:lineRule="auto"/>
        <w:rPr>
          <w:b/>
          <w:sz w:val="24"/>
        </w:rPr>
      </w:pPr>
      <w:r w:rsidRPr="004C78B2">
        <w:rPr>
          <w:b/>
          <w:sz w:val="24"/>
        </w:rPr>
        <w:t>Promowanie synergii między rolnictwem i odnawialną bioenergią</w:t>
      </w:r>
    </w:p>
    <w:p w:rsidR="00B9011C" w:rsidRPr="004C78B2" w:rsidRDefault="00B9011C" w:rsidP="00B9011C">
      <w:pPr>
        <w:spacing w:before="100" w:beforeAutospacing="1" w:line="240" w:lineRule="auto"/>
        <w:rPr>
          <w:bCs/>
          <w:szCs w:val="21"/>
        </w:rPr>
      </w:pPr>
      <w:r w:rsidRPr="004C78B2">
        <w:t xml:space="preserve">Przede wszystkim to duże struktury rolne mogą przyczynić się do produkcji odnawialnego biogazu, z naciskiem na obieg zamknięty. Biogaz z obornika zespala trzy sektory, o których mowa w strategii (energia, odpady i rolnictwo) i przyczynia się do przemian w nich zachodzących. Sektor rolny jest gotowy do zaangażowania się w te działania w oparciu o dobre praktyki znane z modeli spółdzielczych. </w:t>
      </w:r>
    </w:p>
    <w:p w:rsidR="00B9011C" w:rsidRPr="004C78B2" w:rsidRDefault="00B9011C" w:rsidP="00B9011C">
      <w:pPr>
        <w:spacing w:before="100" w:beforeAutospacing="1" w:line="240" w:lineRule="auto"/>
        <w:rPr>
          <w:bCs/>
          <w:szCs w:val="21"/>
        </w:rPr>
      </w:pPr>
      <w:r w:rsidRPr="004C78B2">
        <w:t xml:space="preserve">Pozostałości i współprodukty rolnicze stanowią niskoemisyjne źródła energii odnawialnej i zaopatrują biogazownie w odnawialne surowce. Produkty pofermentacyjne powstałe w wyniku fermentacji beztlenowej poprawiają kondycję gleby i są realną alternatywą dla nawozów syntetycznych pochodzenia kopalnego. Obniżają w ten sposób emisje gazów cieplarnianych i zmniejszają konieczność wydobycia pierwotnych zasobów naturalnych oraz importu energii elektrycznej do UE. </w:t>
      </w:r>
    </w:p>
    <w:p w:rsidR="00B9011C" w:rsidRPr="00B91854" w:rsidRDefault="00B9011C" w:rsidP="00B9011C">
      <w:pPr>
        <w:spacing w:before="100" w:beforeAutospacing="1" w:line="240" w:lineRule="auto"/>
        <w:rPr>
          <w:bCs/>
          <w:szCs w:val="21"/>
        </w:rPr>
      </w:pPr>
      <w:r w:rsidRPr="004C78B2">
        <w:lastRenderedPageBreak/>
        <w:t>Zapotrzebowanie na nawozy biologiczne będzie rosnąć w związku z ambitnymi planami UE dotyczącymi zwiększenia powierzchni upraw przeznaczonej na produkcję ekologiczną. Mimo że strategia stawia odpady i pozostałości na pierwszym miejscu - przed uprawami na żywność i pasze - Copa i Cogeca popierają szersze wykorzystanie współproduktów - przy uwzględnieniu warunków lokalnych - pochodzących z przemysłu rolno-spożywczego, rybołówstwa, akwakultury i poplonów. Zwiększa to produkcję biogazu i poprawia wydajność komory fermentacyjnej. Wykorzystanie poplonów, nawet będących uprawami na żywność i pasze, nie pobudza zapotrzebowania na dodatkowe grunty. W uprawie ryżu na przykład, usuwanie słomy mogłoby umożliwić rolnikom ograniczenie emisji metanu z fermentacji słomy pozostawionej na polach, która jest znacznym źródłem emisji. Odpowiednie wsparcie mogłoby być źródłem synergii między rolnikami i producentami energii odnawialnej (biogazowniami) i wzmacniać biogospodarkę o obiegu zamkniętym. Biogazownie są ważnym elementem zdecentralizowanych lokalnych sieci produkcji energii i wzmacniają biogospodarkę wiejską i lokalną. Równolegle z budową biogazowni wykorzystujących produkty rolne, europejscy rolnicy i spółdzielnie rolnicze popierają kolejny z celów strategii, jakim jest poprawa dostępu do rynku dla połączonej na szczeblu lokalnym produkcji biogazu.</w:t>
      </w:r>
    </w:p>
    <w:p w:rsidR="00B9011C" w:rsidRPr="004C78B2" w:rsidRDefault="00B9011C" w:rsidP="00B9011C">
      <w:pPr>
        <w:spacing w:before="100" w:beforeAutospacing="1" w:line="240" w:lineRule="auto"/>
        <w:rPr>
          <w:b/>
          <w:sz w:val="24"/>
        </w:rPr>
      </w:pPr>
      <w:r w:rsidRPr="004C78B2">
        <w:rPr>
          <w:b/>
          <w:sz w:val="24"/>
        </w:rPr>
        <w:t>Skuteczniejsze łagodzenie skutków zmian klimatu dzięki wspierającym środkom polityki</w:t>
      </w:r>
    </w:p>
    <w:p w:rsidR="00B9011C" w:rsidRPr="004C78B2" w:rsidRDefault="00B9011C" w:rsidP="00B9011C">
      <w:pPr>
        <w:spacing w:before="100" w:beforeAutospacing="1" w:line="240" w:lineRule="auto"/>
        <w:rPr>
          <w:bCs/>
          <w:szCs w:val="21"/>
        </w:rPr>
      </w:pPr>
      <w:r w:rsidRPr="004C78B2">
        <w:t xml:space="preserve">Skuteczna strategia musi obejmować sprzyjające ramy polityczne, uznające centralną rolę rolnictwa i leśnictwa </w:t>
      </w:r>
      <w:r w:rsidR="00550EA8" w:rsidRPr="004C78B2">
        <w:t>w ujemnych emisjach</w:t>
      </w:r>
      <w:r w:rsidRPr="004C78B2">
        <w:t xml:space="preserve"> gazów cieplarnianych. Przegląd odpowiednich przepisów w zakresie klimatu i środowiska ma zasadnicze znaczenie dla stworzenia uczciwych, przekrojowych ram polityki. Unijna strategia na rzecz ograniczenia emisji metanu jest kluczowym elementem Zielonego Ładu, zwłaszcza w odniesieniu do ambitnych celów klimatycznych do roku 2030 i dążenia do osiągnięcia zerowego poziomu emisji zanieczyszczeń. Cel Komisji dotyczący redukcji emisji gazów cieplarnianych o 55% w stosunku do 1990 r. w ciągu najbliższej dekady wymaga harmonizacji działań we wszystkich sektorach, ze zwróceniem szczególnej uwagi na typ emisji gazów cieplarnianych i potencjał redukcyjny. Szczególnie pożądany jest cel strategii dotyczący promowania technologii ułatwiających łagodzenie skutków zmian klimatu. Należy go dokładniej zbadać. Copa i Cogeca chciałyby zwrócić uwagę, że system opartych na rynku kredytów węglowych mógłby znacznie wpłynąć na potencjał łagodzenia skutków zmian klimatu sektorów związanych z gruntami, zwłaszcza w ramach inicjatyw dotyczących upraw sprzyjających pochłanianiu dwutlenku węgla.</w:t>
      </w:r>
    </w:p>
    <w:p w:rsidR="00B9011C" w:rsidRPr="004C78B2" w:rsidDel="00131981" w:rsidRDefault="00B9011C" w:rsidP="00B9011C">
      <w:pPr>
        <w:spacing w:before="100" w:beforeAutospacing="1" w:line="240" w:lineRule="auto"/>
        <w:rPr>
          <w:b/>
          <w:bCs/>
          <w:sz w:val="24"/>
        </w:rPr>
      </w:pPr>
      <w:r w:rsidRPr="004C78B2">
        <w:rPr>
          <w:b/>
          <w:bCs/>
          <w:sz w:val="24"/>
        </w:rPr>
        <w:t>Uznanie różnicy między emisjami metanu biogenicznego i kopalnego w opartych na dowodach decyzjach politycznych</w:t>
      </w:r>
    </w:p>
    <w:p w:rsidR="00B9011C" w:rsidRPr="004C78B2" w:rsidRDefault="00B9011C" w:rsidP="00B9011C">
      <w:pPr>
        <w:spacing w:before="100" w:beforeAutospacing="1" w:line="240" w:lineRule="auto"/>
        <w:rPr>
          <w:bCs/>
          <w:szCs w:val="21"/>
        </w:rPr>
      </w:pPr>
      <w:r w:rsidRPr="004C78B2">
        <w:t xml:space="preserve">Bardziej wyważona polityka klimatyczna powinna odnieść się do dwóch chemicznych cech metanu. Metan jest gazem cieplarnianym o krótkim okresie połowicznego rozpadu, który w atmosferze rozkłada się na wodę i CO2 po średnio dwunastu latach. CO2 jest gazem cieplarnianych o długim okresie połowicznego rozpadu, który gromadzi się w atmosferze. Biogeniczne źródła emisji (hodowla, mokry ryż, a także dzikie przeżuwacze, bagna itd.) nie dodają nowego CO2 do atmosfery po rozkładzie. Ale metan ze źródeł kopalnych już tak (gdyż ten CO2 był magazynowany pod ziemią od milionów lat). </w:t>
      </w:r>
    </w:p>
    <w:p w:rsidR="00B9011C" w:rsidRPr="00B91854" w:rsidRDefault="00B9011C" w:rsidP="00B9011C">
      <w:pPr>
        <w:spacing w:before="100" w:beforeAutospacing="1" w:line="240" w:lineRule="auto"/>
        <w:rPr>
          <w:szCs w:val="21"/>
        </w:rPr>
      </w:pPr>
      <w:r w:rsidRPr="004C78B2">
        <w:t xml:space="preserve">Rozpoznanie tych cech ma kluczowe znaczenie dla opracowania odpowiednich polityk dotyczących łagodzenia skutków zmian klimatu obejmujących metan. W UE rolnictwo jest największym źródłem emisji biogenicznego metanu. Mimo że całe społeczeństwo musi stanąć na czele walki ze zmianami klimatu, zalecenia polityczne muszą zawierać rozwiązania pozwalające rozróżnić sytuację biogenicznego metanu i gazów, które długo utrzymują się w atmosferze. Aby osiągnąć cel neutralności klimatycznej emisje gazów o długim okresie połowicznego rozpadu muszą zostać zrównoważone przez ich usuwanie. Emisje gazów będących źródłem obiegu biogenicznego dwutlenku węgla należy utrzymać na stabilnym poziomie, by były one neutralne pod względem ocieplenia klimatu. Emisji tych nie trzeba eliminować za pomocą pochłaniaczy </w:t>
      </w:r>
      <w:r w:rsidRPr="004C78B2">
        <w:lastRenderedPageBreak/>
        <w:t>gazów cieplarnianych. W strategii na rzecz ograniczenia emisji metanu trzeba koniecznie lepiej i w bardziej zróżnicowany sposób odzwierciedlić wpływ metanu na globalne ocieplenie</w:t>
      </w:r>
      <w:r w:rsidRPr="004C78B2">
        <w:rPr>
          <w:rStyle w:val="Odwoanieprzypisudolnego"/>
          <w:szCs w:val="21"/>
        </w:rPr>
        <w:footnoteReference w:id="1"/>
      </w:r>
      <w:r w:rsidRPr="004C78B2">
        <w:t xml:space="preserve">. </w:t>
      </w:r>
      <w:bookmarkStart w:id="0" w:name="_Hlk66798527"/>
    </w:p>
    <w:p w:rsidR="00B9011C" w:rsidRPr="004C78B2" w:rsidRDefault="00B9011C" w:rsidP="00B9011C">
      <w:pPr>
        <w:spacing w:before="100" w:beforeAutospacing="1" w:line="240" w:lineRule="auto"/>
        <w:rPr>
          <w:b/>
          <w:bCs/>
          <w:sz w:val="24"/>
        </w:rPr>
      </w:pPr>
      <w:r w:rsidRPr="004C78B2">
        <w:rPr>
          <w:b/>
          <w:bCs/>
          <w:sz w:val="24"/>
        </w:rPr>
        <w:t xml:space="preserve">Poprawa monitorowania, sprawozdawczości i weryfikacji </w:t>
      </w:r>
    </w:p>
    <w:p w:rsidR="00B9011C" w:rsidRPr="004C78B2" w:rsidRDefault="00B9011C" w:rsidP="00B9011C">
      <w:pPr>
        <w:spacing w:before="100" w:beforeAutospacing="1" w:line="240" w:lineRule="auto"/>
        <w:rPr>
          <w:bCs/>
          <w:szCs w:val="21"/>
        </w:rPr>
      </w:pPr>
      <w:r w:rsidRPr="004C78B2">
        <w:t xml:space="preserve">Monitorowanie biogenicznego metanu jest wyjątkowo trudne ze względu na jego złożone biogeniczne pochodzenie i brak znormalizowanych, kompleksowych ram monitorowania w UE. Copa i Cogeca popierają więc cel w zakresie sprawozdawczości, który został określony w strategii, a w szczególności planowane działania związane z wykorzystaniem technologii teledetekcji przy pomocy usługi monitorowania atmosfery programu Copernicus. Ważnym warunkiem wstępnym pozostaje jednak dokładność pozyskiwanych w ten sposób danych. Copa i Cogeca zgadzają się, że trudno jest odpowiednio monitorować, weryfikować i zgłaszać emisje metanu, zwłaszcza z rolnictwa, ze względu na ich powszechność. </w:t>
      </w:r>
    </w:p>
    <w:p w:rsidR="00B9011C" w:rsidRPr="00B91854" w:rsidRDefault="00B9011C" w:rsidP="00B9011C">
      <w:pPr>
        <w:spacing w:before="100" w:beforeAutospacing="1" w:line="240" w:lineRule="auto"/>
        <w:rPr>
          <w:rFonts w:ascii="Calibri" w:hAnsi="Calibri"/>
          <w:kern w:val="0"/>
          <w:sz w:val="22"/>
          <w:szCs w:val="22"/>
        </w:rPr>
      </w:pPr>
      <w:r w:rsidRPr="004C78B2">
        <w:t>Ustanowienie ponadsektorowych norm sprawozdawczości na poziomie 3 może okazać się wyjątkowo problematyczne dla rolników w związku z występowaniem różnych struktur i norm raportowania w sektorze. Dlatego też Copa i Cogeca popierają tymczasowy cel dotyczący utrzymania sprawozdawczości w sektorze rolnym na poziomie 2. Ograniczenie obciążeń administracyjnych dla rolników powinno być ogólnym priorytetem. Należy też wprowadzić proste i przejrzyste sposoby monitorowania, raportowania i weryfikacji danych dotyczących emisji metanu. Trzeba jednak zapobiegać publikacji danych na poziomie gospodarstwa czy MŚP, gdyż zmiany klimatu są problemem globalnym, a nie lokalnym.</w:t>
      </w:r>
      <w:bookmarkEnd w:id="0"/>
    </w:p>
    <w:p w:rsidR="00B9011C" w:rsidRPr="004C78B2" w:rsidRDefault="00B9011C" w:rsidP="00B9011C">
      <w:pPr>
        <w:spacing w:before="100" w:beforeAutospacing="1" w:line="240" w:lineRule="auto"/>
        <w:rPr>
          <w:b/>
          <w:sz w:val="24"/>
        </w:rPr>
      </w:pPr>
      <w:r w:rsidRPr="004C78B2">
        <w:rPr>
          <w:b/>
          <w:sz w:val="24"/>
        </w:rPr>
        <w:t>Grupa ekspertów Komisji potrzebuje wiedzy f</w:t>
      </w:r>
      <w:r w:rsidR="00562AF7">
        <w:rPr>
          <w:b/>
          <w:sz w:val="24"/>
        </w:rPr>
        <w:t>achowej, jaką dysponują rolnicy</w:t>
      </w:r>
    </w:p>
    <w:p w:rsidR="00B9011C" w:rsidRPr="004C78B2" w:rsidRDefault="00B9011C" w:rsidP="00B9011C">
      <w:pPr>
        <w:spacing w:before="100" w:beforeAutospacing="1" w:line="240" w:lineRule="auto"/>
        <w:rPr>
          <w:bCs/>
          <w:szCs w:val="21"/>
        </w:rPr>
      </w:pPr>
      <w:r w:rsidRPr="004C78B2">
        <w:t xml:space="preserve">Copa i Cogeca wzywają Komisję do uwzględnienia stosowanej wiedzy fachowej z poziomu gospodarstwa w momencie tworzenia grupy ekspertów, która ma być odpowiedzialna za analizę wskaźników emisji metanu w cyklu życia i która ma powstać w pierwszej połowie 2021 r. Zaangażowanie przedstawicieli sektora rolnego i ekspertów bezpośrednio zajmujących się hodowlą zwierząt gospodarskich będzie niezbędne do opracowania wykonalnych i skutecznych środków redukcji emisji biogenicznego metanu - z rolnikami i dla rolników. </w:t>
      </w:r>
    </w:p>
    <w:p w:rsidR="00B9011C" w:rsidRPr="004C78B2" w:rsidRDefault="00B9011C" w:rsidP="00B9011C">
      <w:pPr>
        <w:spacing w:before="100" w:beforeAutospacing="1" w:line="240" w:lineRule="auto"/>
        <w:rPr>
          <w:bCs/>
          <w:szCs w:val="21"/>
        </w:rPr>
      </w:pPr>
      <w:r w:rsidRPr="004C78B2">
        <w:t>Do końca 2021 r. Komisja opracuje również wykaz najlepszych praktyk, dostępnych technologii i innowacyjnych technologii, by promować szersze wykorzystanie metod redukcji emisji metanu w rolnictwie. Copa i Cogeca są zadowolone z tej inicjatywy, gdyż opracowanie i wdrażanie nowych technik może w znacznym stopniu przyczynić się do redukcji emisji metanu z rolnictwa. Uznane na szczeblu międzynarodowym i wydajne pod względem kosztów procedury monitorowania i raportowania nowych technologii redukcji emisji bardzo ułatwią ich wprowadzanie.</w:t>
      </w:r>
    </w:p>
    <w:p w:rsidR="00B9011C" w:rsidRPr="004C78B2" w:rsidRDefault="00B9011C" w:rsidP="00B9011C">
      <w:pPr>
        <w:spacing w:before="100" w:beforeAutospacing="1" w:line="240" w:lineRule="auto"/>
        <w:rPr>
          <w:b/>
          <w:sz w:val="24"/>
        </w:rPr>
      </w:pPr>
      <w:r w:rsidRPr="004C78B2">
        <w:rPr>
          <w:b/>
          <w:sz w:val="24"/>
        </w:rPr>
        <w:t>Rola sektora hodowli w łagodzeniu skutków zmian klimatu</w:t>
      </w:r>
    </w:p>
    <w:p w:rsidR="00B9011C" w:rsidRPr="004C78B2" w:rsidRDefault="00B9011C" w:rsidP="00B9011C">
      <w:pPr>
        <w:spacing w:before="100" w:beforeAutospacing="1" w:line="240" w:lineRule="auto"/>
        <w:rPr>
          <w:bCs/>
          <w:szCs w:val="21"/>
        </w:rPr>
      </w:pPr>
      <w:r w:rsidRPr="004C78B2">
        <w:t xml:space="preserve">Rolnicy mogą wywiązać się ze swojego podstawowego zadania, jakim jest produkcja żywności, równocześnie zdecydowanie przyczyniając się do łagodzenia skutków zmian klimatu i dostosowywania się do nich. Hodowla zwierząt gospodarskich jest nie tylko źródłem emisji lecz również częścią rozwiązania. Użytki zielone pochłaniają do 2 ton CO2 na tonę biomasy, jednocześnie produkując 1,5 tony tlenu. Ponadto, nie możemy zapomnieć o tym, że 35% terenów rolniczych w UE to trwale użytki zielone, na których żywność można wytwarzać jedynie dzięki hodowli przeżuwaczy. Zarządzanie stadem, zdrowie i dobrostan zwierząt oraz nowoczesne technologie żywienia zwierząt już przynoszą dobre wyniki </w:t>
      </w:r>
      <w:r w:rsidR="004B39FA" w:rsidRPr="004C78B2">
        <w:t xml:space="preserve">pod względem </w:t>
      </w:r>
      <w:r w:rsidRPr="004C78B2">
        <w:t xml:space="preserve">redukcji emisji metanu, na co zwrócono uwagę w strategii. </w:t>
      </w:r>
    </w:p>
    <w:p w:rsidR="00B9011C" w:rsidRPr="004C78B2" w:rsidRDefault="00B9011C" w:rsidP="00B9011C">
      <w:pPr>
        <w:spacing w:before="100" w:beforeAutospacing="1" w:line="240" w:lineRule="auto"/>
        <w:rPr>
          <w:bCs/>
          <w:szCs w:val="21"/>
        </w:rPr>
      </w:pPr>
      <w:r w:rsidRPr="004C78B2">
        <w:lastRenderedPageBreak/>
        <w:t>Wypas na otwartych pastwiskach jest bardzo ważną częścią hodowli zwierząt gospodarskich w UE i składa się na niego szereg tradycyjnych metod wykorzystywanych w całej Unii. Metody te utrzymują krajobraz, zwiększają potencjał sekwestracji dwutlenku węgla przez użytki zielone, utrzymują i chronią różnorodność biologiczną i ekosystemy rolnicze, a także zabezpieczają dostęp do wysokiej jakości, zrównoważonej żywności pochodzenia zwierzęcego. By jeszcze bardziej poprawić wydajność hodowli pod względem emisji metanu trzeba udostępnić dodatkowe fundusze na badania naukowe i rozwój w dziedzinie żywienia zwierząt, zarządzania stadem, gospodarowania obornikiem, hodowli, zdrowia zwierząt i gospodarki użytkami zielonymi, a także na transfer wiedzy i informacji wśród rolników.</w:t>
      </w:r>
    </w:p>
    <w:p w:rsidR="00F202CC" w:rsidRPr="00B91854" w:rsidRDefault="00B9011C" w:rsidP="00B9011C">
      <w:pPr>
        <w:spacing w:before="100" w:beforeAutospacing="1" w:line="240" w:lineRule="auto"/>
        <w:rPr>
          <w:bCs/>
          <w:szCs w:val="21"/>
        </w:rPr>
      </w:pPr>
      <w:r w:rsidRPr="004C78B2">
        <w:t xml:space="preserve">Intensywna produkcja mleka i wołowiny również może bardzo przyczynić się do redukcji emisji gazów cieplarnianych dzięki ciągłym inwestycjom w zaawansowane technologie ograniczania i kontroli emisji. Kolejnym filarem redukcji emisji gazów cieplarnianych z intensywnej hodowli są technologie żywienia zwierząt i pochodzenie paszy, np. wykorzystanie upraw. Można </w:t>
      </w:r>
      <w:r w:rsidR="000B582B" w:rsidRPr="004C78B2">
        <w:t>zwiększyć</w:t>
      </w:r>
      <w:r w:rsidRPr="004C78B2">
        <w:t xml:space="preserve"> potencjał systemów upraw do łagodzenia skutków zmian klimatu poprzez zmianowanie bezugorowe, by magazynować więcej dwutlenku węgla w glebie lub ograniczyć emisje związane ze stosowaniem nawozów. </w:t>
      </w:r>
    </w:p>
    <w:p w:rsidR="00B9011C" w:rsidRPr="004C78B2" w:rsidRDefault="00B9011C" w:rsidP="00B9011C">
      <w:pPr>
        <w:spacing w:before="100" w:beforeAutospacing="1" w:line="240" w:lineRule="auto"/>
        <w:rPr>
          <w:b/>
          <w:sz w:val="24"/>
        </w:rPr>
      </w:pPr>
      <w:r w:rsidRPr="004C78B2">
        <w:rPr>
          <w:b/>
          <w:sz w:val="24"/>
        </w:rPr>
        <w:t>Ścisła współpraca na szczeblu międzynarodowym</w:t>
      </w:r>
    </w:p>
    <w:p w:rsidR="00B9011C" w:rsidRPr="004C78B2" w:rsidRDefault="00B9011C" w:rsidP="00B9011C">
      <w:pPr>
        <w:spacing w:before="100" w:beforeAutospacing="1" w:line="240" w:lineRule="auto"/>
        <w:rPr>
          <w:bCs/>
          <w:szCs w:val="21"/>
        </w:rPr>
      </w:pPr>
      <w:r w:rsidRPr="004C78B2">
        <w:t>Wzywamy do wprowadzenia większej spójności między różnymi obszarami polityki UE. Copa-Cogeca popiera handel wewnątrz UE i z krajami trzecimi. Handel będzie musiał opierać się na wyważonych, sprawiedliwych i przejrzystych zasadach, by nie doszło do zakłóceń konkurencji. Z</w:t>
      </w:r>
      <w:r w:rsidR="000B582B" w:rsidRPr="004C78B2">
        <w:t> </w:t>
      </w:r>
      <w:r w:rsidRPr="004C78B2">
        <w:t>zasady produkty przywożone do UE muszą spełniać te same wymogi co produkty wytwarzane w Unii. Unijna społeczność rolnicza najbardziej opowiada się za podejściem wielostronnym. Współpraca na szczeblu międzynarodowym ma kluczowe znaczenie dla walki z emisjami metanu na świecie. Europejskie rolnictwo już bardzo ograniczyło emisje metanu w ramach utrzymującej się tendencji. Na arenie międzynarodowej niestety niektóre ze wschodzących gospodarek zwiększają emisje metanu z rolnictwa. Międzynarodowe środki walki ze zmianami klimatu będą skuteczne jedynie, jeśli uda się uniknąć ucieczki emisji dwutlenku węgla dzięki efektywnym mechanizmom polityki.</w:t>
      </w:r>
    </w:p>
    <w:p w:rsidR="00B9011C" w:rsidRPr="004C78B2" w:rsidRDefault="00B9011C" w:rsidP="00B9011C">
      <w:pPr>
        <w:spacing w:before="100" w:beforeAutospacing="1" w:line="240" w:lineRule="auto"/>
        <w:rPr>
          <w:bCs/>
          <w:szCs w:val="21"/>
        </w:rPr>
      </w:pPr>
      <w:r w:rsidRPr="004C78B2">
        <w:t xml:space="preserve">Copa i Cogeca cieszą się z zaangażowania Komisji we współpracę międzynarodową w ramach wielostronnej dyplomacji rolno-środowiskowej. Koalicja na rzecz Klimatu i Czystego Powietrza (CCAC) i </w:t>
      </w:r>
      <w:r w:rsidR="0053526F">
        <w:t>decyzja dotycząca współpracy w zakresie rolnictwa (</w:t>
      </w:r>
      <w:r w:rsidRPr="004C78B2">
        <w:t>Koronivia Joint Work on Agriculture</w:t>
      </w:r>
      <w:r w:rsidR="0053526F">
        <w:t>)</w:t>
      </w:r>
      <w:r w:rsidRPr="004C78B2">
        <w:t xml:space="preserve"> </w:t>
      </w:r>
      <w:r w:rsidR="0053526F" w:rsidRPr="0053526F">
        <w:t>Ramowej konwencji Narodów Zjednoczonych w sprawie zmian klimatu</w:t>
      </w:r>
      <w:r w:rsidR="0053526F" w:rsidRPr="004C78B2">
        <w:t xml:space="preserve"> UNFCCC </w:t>
      </w:r>
      <w:r w:rsidRPr="004C78B2">
        <w:t>to niezbędne międzynarodowe platformy wymiany najlepszych praktyk, które zachęcają naszych globalnych partnerów do ograniczenia rodzajów produkcji rolnej odpowiedzialnych za znaczne emisje metanu i do przejścia na biogospodarkę o obiegu zamkniętym. Globalne wysiłki na rzecz redukcji emisji metanu i innych źródeł emisji dwutlenku węgla przyczyniają się do ogólnego ograniczenia emisji gazów cieplarnianych z międzynarodowego handlu, co również wzmacnia uczciwą konkurencję.</w:t>
      </w:r>
    </w:p>
    <w:p w:rsidR="00E91F77" w:rsidRPr="004C78B2" w:rsidRDefault="00E91F77" w:rsidP="0067459D">
      <w:pPr>
        <w:tabs>
          <w:tab w:val="left" w:pos="5954"/>
        </w:tabs>
        <w:spacing w:line="240" w:lineRule="auto"/>
        <w:jc w:val="center"/>
        <w:rPr>
          <w:bCs/>
          <w:szCs w:val="21"/>
        </w:rPr>
      </w:pPr>
      <w:r w:rsidRPr="004C78B2">
        <w:t>________________</w:t>
      </w:r>
    </w:p>
    <w:sectPr w:rsidR="00E91F77" w:rsidRPr="004C78B2" w:rsidSect="00A75178">
      <w:footerReference w:type="default" r:id="rId6"/>
      <w:headerReference w:type="first" r:id="rId7"/>
      <w:footerReference w:type="first" r:id="rId8"/>
      <w:pgSz w:w="11906" w:h="16838" w:code="9"/>
      <w:pgMar w:top="1418" w:right="1418" w:bottom="1418" w:left="1418" w:header="573" w:footer="4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860" w:rsidRDefault="001E6860">
      <w:r>
        <w:separator/>
      </w:r>
    </w:p>
  </w:endnote>
  <w:endnote w:type="continuationSeparator" w:id="0">
    <w:p w:rsidR="001E6860" w:rsidRDefault="001E6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06" w:rsidRDefault="00E46B33">
    <w:pPr>
      <w:pStyle w:val="Page"/>
      <w:framePr w:wrap="around"/>
    </w:pPr>
    <w:r>
      <w:fldChar w:fldCharType="begin"/>
    </w:r>
    <w:r w:rsidR="008D2F90">
      <w:instrText xml:space="preserve"> PAGE  \* Arabic  \* MERGEFORMAT </w:instrText>
    </w:r>
    <w:r>
      <w:fldChar w:fldCharType="separate"/>
    </w:r>
    <w:r w:rsidR="00F61186">
      <w:rPr>
        <w:noProof/>
      </w:rPr>
      <w:t>4</w:t>
    </w:r>
    <w:r>
      <w:fldChar w:fldCharType="end"/>
    </w:r>
  </w:p>
  <w:p w:rsidR="00975206" w:rsidRDefault="00975206">
    <w:pPr>
      <w:pStyle w:val="NumPage"/>
      <w:framePr w:wrap="around"/>
    </w:pPr>
    <w:r>
      <w:t xml:space="preserve">| </w:t>
    </w:r>
    <w:fldSimple w:instr=" NUMPAGES  \* Arabic  \* MERGEFORMAT ">
      <w:r w:rsidR="00F61186">
        <w:rPr>
          <w:noProof/>
        </w:rPr>
        <w:t>4</w:t>
      </w:r>
    </w:fldSimple>
  </w:p>
  <w:p w:rsidR="00975206" w:rsidRDefault="0097520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769" w:type="dxa"/>
      <w:tblLayout w:type="fixed"/>
      <w:tblCellMar>
        <w:left w:w="0" w:type="dxa"/>
        <w:right w:w="0" w:type="dxa"/>
      </w:tblCellMar>
      <w:tblLook w:val="01E0"/>
    </w:tblPr>
    <w:tblGrid>
      <w:gridCol w:w="7769"/>
    </w:tblGrid>
    <w:tr w:rsidR="00AC3C95" w:rsidRPr="00B9011C" w:rsidTr="007B61D8">
      <w:tc>
        <w:tcPr>
          <w:tcW w:w="7769" w:type="dxa"/>
          <w:shd w:val="clear" w:color="auto" w:fill="auto"/>
        </w:tcPr>
        <w:p w:rsidR="00870547" w:rsidRPr="001A6D6B" w:rsidRDefault="00870547" w:rsidP="00870547">
          <w:pPr>
            <w:pStyle w:val="Stopka"/>
          </w:pPr>
          <w:r>
            <w:rPr>
              <w:b/>
            </w:rPr>
            <w:t>Copa - Cogeca |</w:t>
          </w:r>
          <w:r>
            <w:t xml:space="preserve"> Europejscy Rolnicy Europejskie Spółdzielnie Rolnicze</w:t>
          </w:r>
        </w:p>
        <w:p w:rsidR="00870547" w:rsidRPr="006E75FE" w:rsidRDefault="00870547" w:rsidP="00870547">
          <w:pPr>
            <w:pStyle w:val="Stopka"/>
            <w:rPr>
              <w:lang w:val="fr-BE"/>
            </w:rPr>
          </w:pPr>
          <w:r w:rsidRPr="006E75FE">
            <w:rPr>
              <w:lang w:val="fr-BE"/>
            </w:rPr>
            <w:t xml:space="preserve">61, Rue de Trèves | B - 1040 Bruksela | www.copa-cogeca.eu </w:t>
          </w:r>
        </w:p>
        <w:p w:rsidR="00AC3C95" w:rsidRPr="00A75178" w:rsidRDefault="00870547" w:rsidP="00870547">
          <w:pPr>
            <w:pStyle w:val="Stopka"/>
          </w:pPr>
          <w:r>
            <w:t>Numer rejestru służącego przejrzystości UE | Copa 44856881231-49  | Cogeca 09586631237-74</w:t>
          </w:r>
        </w:p>
      </w:tc>
    </w:tr>
  </w:tbl>
  <w:p w:rsidR="00AC3C95" w:rsidRPr="00A75178" w:rsidRDefault="00AC3C95" w:rsidP="00AC3C95">
    <w:pPr>
      <w:pStyle w:val="Stopka"/>
    </w:pPr>
  </w:p>
  <w:p w:rsidR="00975206" w:rsidRPr="00A75178" w:rsidRDefault="00975206" w:rsidP="00AC3C9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860" w:rsidRDefault="001E6860">
      <w:r>
        <w:separator/>
      </w:r>
    </w:p>
  </w:footnote>
  <w:footnote w:type="continuationSeparator" w:id="0">
    <w:p w:rsidR="001E6860" w:rsidRDefault="001E6860">
      <w:r>
        <w:continuationSeparator/>
      </w:r>
    </w:p>
  </w:footnote>
  <w:footnote w:id="1">
    <w:p w:rsidR="00B9011C" w:rsidRPr="00347142" w:rsidRDefault="00B9011C" w:rsidP="00B9011C">
      <w:pPr>
        <w:pStyle w:val="Tekstprzypisudolnego"/>
      </w:pPr>
      <w:r>
        <w:rPr>
          <w:rStyle w:val="Odwoanieprzypisudolnego"/>
        </w:rPr>
        <w:footnoteRef/>
      </w:r>
      <w:r>
        <w:t xml:space="preserve"> Dodatkowe informacje można uzyskać np. tutaj: </w:t>
      </w:r>
      <w:hyperlink r:id="rId1" w:history="1">
        <w:r>
          <w:rPr>
            <w:rStyle w:val="Hipercze"/>
          </w:rPr>
          <w:t>https://iopscience.iop.org/article/10.1088/1748-9326/ab6d7e</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15" w:type="dxa"/>
      <w:tblLayout w:type="fixed"/>
      <w:tblCellMar>
        <w:left w:w="0" w:type="dxa"/>
        <w:right w:w="0" w:type="dxa"/>
      </w:tblCellMar>
      <w:tblLook w:val="01E0"/>
    </w:tblPr>
    <w:tblGrid>
      <w:gridCol w:w="5940"/>
      <w:gridCol w:w="3775"/>
    </w:tblGrid>
    <w:tr w:rsidR="00975206" w:rsidTr="00866F16">
      <w:trPr>
        <w:trHeight w:val="1076"/>
      </w:trPr>
      <w:tc>
        <w:tcPr>
          <w:tcW w:w="5940" w:type="dxa"/>
          <w:shd w:val="clear" w:color="auto" w:fill="auto"/>
        </w:tcPr>
        <w:p w:rsidR="00975206" w:rsidRDefault="00975206">
          <w:pPr>
            <w:pStyle w:val="Nagwek"/>
          </w:pPr>
        </w:p>
      </w:tc>
      <w:tc>
        <w:tcPr>
          <w:tcW w:w="3775" w:type="dxa"/>
          <w:shd w:val="clear" w:color="auto" w:fill="auto"/>
        </w:tcPr>
        <w:p w:rsidR="00975206" w:rsidRPr="00AB75D0" w:rsidRDefault="00F61186" w:rsidP="005E42BC">
          <w:pPr>
            <w:pStyle w:val="Nagwek"/>
          </w:pPr>
          <w:r>
            <w:rPr>
              <w:noProof/>
              <w:lang w:eastAsia="pl-PL"/>
            </w:rPr>
            <w:drawing>
              <wp:inline distT="0" distB="0" distL="0" distR="0">
                <wp:extent cx="2362200" cy="590550"/>
                <wp:effectExtent l="19050" t="0" r="0" b="0"/>
                <wp:docPr id="1" name="Obraz 1" descr="CopaCogeca_4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Cogeca_4C_C"/>
                        <pic:cNvPicPr>
                          <a:picLocks noChangeAspect="1" noChangeArrowheads="1"/>
                        </pic:cNvPicPr>
                      </pic:nvPicPr>
                      <pic:blipFill>
                        <a:blip r:embed="rId1"/>
                        <a:srcRect/>
                        <a:stretch>
                          <a:fillRect/>
                        </a:stretch>
                      </pic:blipFill>
                      <pic:spPr bwMode="auto">
                        <a:xfrm>
                          <a:off x="0" y="0"/>
                          <a:ext cx="2362200" cy="590550"/>
                        </a:xfrm>
                        <a:prstGeom prst="rect">
                          <a:avLst/>
                        </a:prstGeom>
                        <a:noFill/>
                        <a:ln w="9525">
                          <a:noFill/>
                          <a:miter lim="800000"/>
                          <a:headEnd/>
                          <a:tailEnd/>
                        </a:ln>
                      </pic:spPr>
                    </pic:pic>
                  </a:graphicData>
                </a:graphic>
              </wp:inline>
            </w:drawing>
          </w:r>
        </w:p>
      </w:tc>
    </w:tr>
  </w:tbl>
  <w:p w:rsidR="00975206" w:rsidRDefault="00E46B33">
    <w:pPr>
      <w:pStyle w:val="Nagwek"/>
    </w:pPr>
    <w:r>
      <w:pict>
        <v:line id="_x0000_s2050" style="position:absolute;z-index:251658240;mso-position-horizontal-relative:page;mso-position-vertical-relative:page" from="14.2pt,420.9pt" to="28.35pt,420.9pt" strokecolor="#6b7213" strokeweight=".15pt">
          <w10:wrap anchorx="page" anchory="page"/>
          <w10:anchorlock/>
        </v:line>
      </w:pict>
    </w:r>
    <w:r>
      <w:pict>
        <v:line id="_x0000_s2049" style="position:absolute;z-index:251657216;mso-position-horizontal-relative:page;mso-position-vertical-relative:page" from="14.2pt,297.6pt" to="28.35pt,297.6pt" strokecolor="#ca6d05" strokeweight=".15pt">
          <w10:wrap anchorx="page" anchory="page"/>
          <w10:anchorlock/>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8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26DAF"/>
    <w:rsid w:val="0000381C"/>
    <w:rsid w:val="00011B07"/>
    <w:rsid w:val="00013FEF"/>
    <w:rsid w:val="000255C1"/>
    <w:rsid w:val="00053327"/>
    <w:rsid w:val="000756CD"/>
    <w:rsid w:val="000A432D"/>
    <w:rsid w:val="000B4EC2"/>
    <w:rsid w:val="000B582B"/>
    <w:rsid w:val="000B6E3F"/>
    <w:rsid w:val="000C3CFC"/>
    <w:rsid w:val="000C75E0"/>
    <w:rsid w:val="000E0809"/>
    <w:rsid w:val="000F0D0A"/>
    <w:rsid w:val="000F799C"/>
    <w:rsid w:val="00101C5F"/>
    <w:rsid w:val="00160602"/>
    <w:rsid w:val="001808C6"/>
    <w:rsid w:val="00181E26"/>
    <w:rsid w:val="001A6D6B"/>
    <w:rsid w:val="001B7293"/>
    <w:rsid w:val="001D2686"/>
    <w:rsid w:val="001E6860"/>
    <w:rsid w:val="0020404E"/>
    <w:rsid w:val="002C136C"/>
    <w:rsid w:val="002D535B"/>
    <w:rsid w:val="002F3B55"/>
    <w:rsid w:val="002F6839"/>
    <w:rsid w:val="00301027"/>
    <w:rsid w:val="003805F2"/>
    <w:rsid w:val="003D3391"/>
    <w:rsid w:val="003D6C0D"/>
    <w:rsid w:val="003E092C"/>
    <w:rsid w:val="003F2BFC"/>
    <w:rsid w:val="003F3E9C"/>
    <w:rsid w:val="004407CB"/>
    <w:rsid w:val="00465270"/>
    <w:rsid w:val="00474774"/>
    <w:rsid w:val="004B39FA"/>
    <w:rsid w:val="004C78B2"/>
    <w:rsid w:val="004D1904"/>
    <w:rsid w:val="004E000D"/>
    <w:rsid w:val="004F1D63"/>
    <w:rsid w:val="004F35A6"/>
    <w:rsid w:val="004F6F4F"/>
    <w:rsid w:val="00524E5F"/>
    <w:rsid w:val="00532438"/>
    <w:rsid w:val="0053526F"/>
    <w:rsid w:val="00550EA8"/>
    <w:rsid w:val="00562AF7"/>
    <w:rsid w:val="00565598"/>
    <w:rsid w:val="00583A1E"/>
    <w:rsid w:val="00590CE5"/>
    <w:rsid w:val="00595C23"/>
    <w:rsid w:val="005A68DB"/>
    <w:rsid w:val="005D42A2"/>
    <w:rsid w:val="005E42BC"/>
    <w:rsid w:val="00605BBA"/>
    <w:rsid w:val="006610DC"/>
    <w:rsid w:val="00661C59"/>
    <w:rsid w:val="0067459D"/>
    <w:rsid w:val="00692C8A"/>
    <w:rsid w:val="006E75FE"/>
    <w:rsid w:val="006F53A1"/>
    <w:rsid w:val="007255D0"/>
    <w:rsid w:val="0072671E"/>
    <w:rsid w:val="00726DAF"/>
    <w:rsid w:val="007279AC"/>
    <w:rsid w:val="0073500F"/>
    <w:rsid w:val="0075096E"/>
    <w:rsid w:val="00761EDE"/>
    <w:rsid w:val="00783AEB"/>
    <w:rsid w:val="007919F9"/>
    <w:rsid w:val="00792F55"/>
    <w:rsid w:val="007F5534"/>
    <w:rsid w:val="00801521"/>
    <w:rsid w:val="0086543E"/>
    <w:rsid w:val="00866F16"/>
    <w:rsid w:val="00870547"/>
    <w:rsid w:val="00895226"/>
    <w:rsid w:val="008D2F90"/>
    <w:rsid w:val="008D764E"/>
    <w:rsid w:val="009138AB"/>
    <w:rsid w:val="009331F0"/>
    <w:rsid w:val="00937692"/>
    <w:rsid w:val="00944EED"/>
    <w:rsid w:val="00963C74"/>
    <w:rsid w:val="00972CFB"/>
    <w:rsid w:val="00975206"/>
    <w:rsid w:val="009A2C6A"/>
    <w:rsid w:val="009D347F"/>
    <w:rsid w:val="00A13CDE"/>
    <w:rsid w:val="00A27C10"/>
    <w:rsid w:val="00A3711E"/>
    <w:rsid w:val="00A664EE"/>
    <w:rsid w:val="00A75178"/>
    <w:rsid w:val="00A852E5"/>
    <w:rsid w:val="00A95CC7"/>
    <w:rsid w:val="00AA2578"/>
    <w:rsid w:val="00AB75D0"/>
    <w:rsid w:val="00AC15E1"/>
    <w:rsid w:val="00AC1890"/>
    <w:rsid w:val="00AC3C95"/>
    <w:rsid w:val="00AE14BE"/>
    <w:rsid w:val="00B1741A"/>
    <w:rsid w:val="00B2371E"/>
    <w:rsid w:val="00B31808"/>
    <w:rsid w:val="00B31959"/>
    <w:rsid w:val="00B64EE0"/>
    <w:rsid w:val="00B9011C"/>
    <w:rsid w:val="00B91854"/>
    <w:rsid w:val="00B94F79"/>
    <w:rsid w:val="00BC12D9"/>
    <w:rsid w:val="00BE2219"/>
    <w:rsid w:val="00C14C95"/>
    <w:rsid w:val="00C8725E"/>
    <w:rsid w:val="00CB1F9B"/>
    <w:rsid w:val="00CC19FD"/>
    <w:rsid w:val="00CD06D3"/>
    <w:rsid w:val="00CD1BFF"/>
    <w:rsid w:val="00D018B9"/>
    <w:rsid w:val="00D3095C"/>
    <w:rsid w:val="00D34C9E"/>
    <w:rsid w:val="00D94309"/>
    <w:rsid w:val="00DB33FE"/>
    <w:rsid w:val="00E431D9"/>
    <w:rsid w:val="00E45B89"/>
    <w:rsid w:val="00E46B33"/>
    <w:rsid w:val="00E91F77"/>
    <w:rsid w:val="00EB18BC"/>
    <w:rsid w:val="00ED64A3"/>
    <w:rsid w:val="00EF6033"/>
    <w:rsid w:val="00F202CC"/>
    <w:rsid w:val="00F56364"/>
    <w:rsid w:val="00F61186"/>
    <w:rsid w:val="00F66A87"/>
    <w:rsid w:val="00F70C12"/>
    <w:rsid w:val="00F85B2A"/>
    <w:rsid w:val="00FC428F"/>
    <w:rsid w:val="00FD7702"/>
    <w:rsid w:val="00FE70E6"/>
    <w:rsid w:val="00FF4409"/>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10/wordprocessingCanvas"/>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rsid w:val="00B2371E"/>
    <w:pPr>
      <w:spacing w:line="260" w:lineRule="atLeast"/>
    </w:pPr>
    <w:rPr>
      <w:rFonts w:ascii="Georgia" w:hAnsi="Georgia"/>
      <w:kern w:val="4"/>
      <w:sz w:val="21"/>
      <w:szCs w:val="24"/>
      <w:lang w:eastAsia="de-DE"/>
    </w:rPr>
  </w:style>
  <w:style w:type="paragraph" w:styleId="Nagwek1">
    <w:name w:val="heading 1"/>
    <w:basedOn w:val="Normalny"/>
    <w:next w:val="Normalny"/>
    <w:qFormat/>
    <w:rsid w:val="006F53A1"/>
    <w:pPr>
      <w:keepNext/>
      <w:keepLines/>
      <w:spacing w:before="240" w:after="240" w:line="240" w:lineRule="auto"/>
      <w:jc w:val="both"/>
      <w:outlineLvl w:val="0"/>
    </w:pPr>
    <w:rPr>
      <w:b/>
      <w:caps/>
      <w:kern w:val="28"/>
      <w:sz w:val="24"/>
      <w:szCs w:val="20"/>
      <w:lang w:eastAsia="en-US"/>
    </w:rPr>
  </w:style>
  <w:style w:type="paragraph" w:styleId="Nagwek2">
    <w:name w:val="heading 2"/>
    <w:basedOn w:val="Nagwek1"/>
    <w:next w:val="Normalny"/>
    <w:qFormat/>
    <w:rsid w:val="006F53A1"/>
    <w:pPr>
      <w:ind w:left="720" w:hanging="720"/>
      <w:outlineLvl w:val="1"/>
    </w:pPr>
    <w:rPr>
      <w:i/>
      <w:caps w:val="0"/>
    </w:rPr>
  </w:style>
  <w:style w:type="paragraph" w:styleId="Nagwek3">
    <w:name w:val="heading 3"/>
    <w:basedOn w:val="Nagwek2"/>
    <w:next w:val="Normalny"/>
    <w:qFormat/>
    <w:rsid w:val="006F53A1"/>
    <w:pPr>
      <w:ind w:left="1440"/>
      <w:outlineLvl w:val="2"/>
    </w:pPr>
    <w:rPr>
      <w:i w:val="0"/>
      <w:sz w:val="21"/>
    </w:rPr>
  </w:style>
  <w:style w:type="paragraph" w:styleId="Nagwek4">
    <w:name w:val="heading 4"/>
    <w:basedOn w:val="Nagwek3"/>
    <w:next w:val="Normalny"/>
    <w:qFormat/>
    <w:rsid w:val="00013FEF"/>
    <w:pPr>
      <w:outlineLvl w:val="3"/>
    </w:pPr>
  </w:style>
  <w:style w:type="paragraph" w:styleId="Nagwek5">
    <w:name w:val="heading 5"/>
    <w:basedOn w:val="Nagwek4"/>
    <w:next w:val="Nagwek4"/>
    <w:qFormat/>
    <w:rsid w:val="00013FEF"/>
    <w:pPr>
      <w:outlineLvl w:val="4"/>
    </w:pPr>
  </w:style>
  <w:style w:type="paragraph" w:styleId="Nagwek6">
    <w:name w:val="heading 6"/>
    <w:basedOn w:val="Nagwek5"/>
    <w:next w:val="Normalny"/>
    <w:qFormat/>
    <w:rsid w:val="00013FEF"/>
    <w:pPr>
      <w:outlineLvl w:val="5"/>
    </w:pPr>
  </w:style>
  <w:style w:type="paragraph" w:styleId="Nagwek7">
    <w:name w:val="heading 7"/>
    <w:basedOn w:val="Nagwek6"/>
    <w:next w:val="Normalny"/>
    <w:qFormat/>
    <w:rsid w:val="00013FEF"/>
    <w:pPr>
      <w:outlineLvl w:val="6"/>
    </w:pPr>
  </w:style>
  <w:style w:type="paragraph" w:styleId="Nagwek8">
    <w:name w:val="heading 8"/>
    <w:basedOn w:val="Nagwek7"/>
    <w:next w:val="Normalny"/>
    <w:qFormat/>
    <w:rsid w:val="00013FEF"/>
    <w:pPr>
      <w:outlineLvl w:val="7"/>
    </w:pPr>
  </w:style>
  <w:style w:type="paragraph" w:styleId="Nagwek9">
    <w:name w:val="heading 9"/>
    <w:basedOn w:val="Nagwek8"/>
    <w:next w:val="Normalny"/>
    <w:qFormat/>
    <w:rsid w:val="00013FEF"/>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26DAF"/>
    <w:pPr>
      <w:tabs>
        <w:tab w:val="center" w:pos="4536"/>
        <w:tab w:val="right" w:pos="9072"/>
      </w:tabs>
    </w:pPr>
  </w:style>
  <w:style w:type="paragraph" w:styleId="Stopka">
    <w:name w:val="footer"/>
    <w:basedOn w:val="Normalny"/>
    <w:rsid w:val="00726DAF"/>
    <w:pPr>
      <w:tabs>
        <w:tab w:val="center" w:pos="4536"/>
        <w:tab w:val="right" w:pos="9072"/>
      </w:tabs>
      <w:spacing w:line="240" w:lineRule="atLeast"/>
    </w:pPr>
    <w:rPr>
      <w:rFonts w:ascii="Tahoma" w:hAnsi="Tahoma"/>
      <w:noProof/>
      <w:sz w:val="16"/>
    </w:rPr>
  </w:style>
  <w:style w:type="table" w:styleId="Tabela-Siatka">
    <w:name w:val="Table Grid"/>
    <w:basedOn w:val="Standardowy"/>
    <w:rsid w:val="00726D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ina">
    <w:name w:val="Pagina"/>
    <w:basedOn w:val="Normalny"/>
    <w:rsid w:val="00726DAF"/>
    <w:pPr>
      <w:framePr w:w="709" w:h="312" w:hRule="exact" w:hSpace="181" w:wrap="around" w:vAnchor="page" w:hAnchor="page" w:x="10689" w:y="15401" w:anchorLock="1"/>
    </w:pPr>
  </w:style>
  <w:style w:type="paragraph" w:customStyle="1" w:styleId="Page">
    <w:name w:val="Page"/>
    <w:basedOn w:val="Pagina"/>
    <w:rsid w:val="00726DAF"/>
    <w:pPr>
      <w:framePr w:wrap="around" w:x="10060"/>
      <w:jc w:val="right"/>
    </w:pPr>
  </w:style>
  <w:style w:type="paragraph" w:customStyle="1" w:styleId="NumPage">
    <w:name w:val="NumPage"/>
    <w:basedOn w:val="Pagina"/>
    <w:rsid w:val="00726DAF"/>
    <w:pPr>
      <w:framePr w:wrap="around" w:x="10819"/>
    </w:pPr>
  </w:style>
  <w:style w:type="paragraph" w:customStyle="1" w:styleId="Subject">
    <w:name w:val="Subject"/>
    <w:basedOn w:val="Normalny"/>
    <w:rsid w:val="00013FEF"/>
    <w:rPr>
      <w:b/>
    </w:rPr>
  </w:style>
  <w:style w:type="paragraph" w:customStyle="1" w:styleId="white">
    <w:name w:val="white"/>
    <w:basedOn w:val="Normalny"/>
    <w:rsid w:val="00726DAF"/>
    <w:pPr>
      <w:spacing w:line="240" w:lineRule="auto"/>
    </w:pPr>
    <w:rPr>
      <w:color w:val="FFFFFF"/>
      <w:sz w:val="2"/>
      <w:szCs w:val="2"/>
    </w:rPr>
  </w:style>
  <w:style w:type="paragraph" w:styleId="Tekstdymka">
    <w:name w:val="Balloon Text"/>
    <w:basedOn w:val="Normalny"/>
    <w:rsid w:val="00726DAF"/>
    <w:rPr>
      <w:rFonts w:ascii="Tahoma" w:hAnsi="Tahoma" w:cs="Tahoma"/>
      <w:sz w:val="16"/>
      <w:szCs w:val="16"/>
    </w:rPr>
  </w:style>
  <w:style w:type="paragraph" w:customStyle="1" w:styleId="Address">
    <w:name w:val="Address"/>
    <w:basedOn w:val="Normalny"/>
    <w:rsid w:val="005E42BC"/>
    <w:pPr>
      <w:keepLines/>
      <w:spacing w:after="120" w:line="240" w:lineRule="auto"/>
      <w:ind w:left="5954"/>
      <w:jc w:val="both"/>
    </w:pPr>
    <w:rPr>
      <w:kern w:val="22"/>
      <w:szCs w:val="20"/>
      <w:lang w:eastAsia="en-US"/>
    </w:rPr>
  </w:style>
  <w:style w:type="paragraph" w:customStyle="1" w:styleId="DocumentID">
    <w:name w:val="Document ID"/>
    <w:basedOn w:val="Normalny"/>
    <w:rsid w:val="00013FEF"/>
    <w:pPr>
      <w:keepLines/>
      <w:tabs>
        <w:tab w:val="left" w:pos="5103"/>
      </w:tabs>
      <w:spacing w:after="120" w:line="240" w:lineRule="auto"/>
      <w:jc w:val="both"/>
    </w:pPr>
    <w:rPr>
      <w:kern w:val="28"/>
      <w:sz w:val="22"/>
      <w:szCs w:val="20"/>
      <w:lang w:eastAsia="en-US"/>
    </w:rPr>
  </w:style>
  <w:style w:type="paragraph" w:customStyle="1" w:styleId="DoubleSignature">
    <w:name w:val="DoubleSignature"/>
    <w:basedOn w:val="Address"/>
    <w:rsid w:val="00013FEF"/>
    <w:pPr>
      <w:tabs>
        <w:tab w:val="left" w:pos="5103"/>
      </w:tabs>
      <w:ind w:left="0"/>
    </w:pPr>
  </w:style>
  <w:style w:type="paragraph" w:customStyle="1" w:styleId="FaxHeader">
    <w:name w:val="Fax Header"/>
    <w:basedOn w:val="Normalny"/>
    <w:next w:val="Normalny"/>
    <w:rsid w:val="00013FEF"/>
    <w:pPr>
      <w:keepLines/>
      <w:spacing w:before="120" w:after="120" w:line="240" w:lineRule="auto"/>
      <w:jc w:val="both"/>
    </w:pPr>
    <w:rPr>
      <w:kern w:val="28"/>
      <w:szCs w:val="20"/>
      <w:lang w:eastAsia="en-US"/>
    </w:rPr>
  </w:style>
  <w:style w:type="paragraph" w:styleId="Tytu">
    <w:name w:val="Title"/>
    <w:basedOn w:val="Normalny"/>
    <w:qFormat/>
    <w:rsid w:val="006F53A1"/>
    <w:pPr>
      <w:keepLines/>
      <w:spacing w:before="240" w:after="240" w:line="240" w:lineRule="auto"/>
      <w:jc w:val="center"/>
    </w:pPr>
    <w:rPr>
      <w:b/>
      <w:caps/>
      <w:kern w:val="28"/>
      <w:sz w:val="32"/>
      <w:szCs w:val="20"/>
      <w:lang w:eastAsia="en-US"/>
    </w:rPr>
  </w:style>
  <w:style w:type="paragraph" w:styleId="Podtytu">
    <w:name w:val="Subtitle"/>
    <w:basedOn w:val="Tytu"/>
    <w:qFormat/>
    <w:rsid w:val="006F53A1"/>
    <w:pPr>
      <w:spacing w:before="0"/>
    </w:pPr>
    <w:rPr>
      <w:bCs/>
      <w:i/>
      <w:sz w:val="28"/>
    </w:rPr>
  </w:style>
  <w:style w:type="paragraph" w:styleId="Tekstprzypisudolnego">
    <w:name w:val="footnote text"/>
    <w:basedOn w:val="Normalny"/>
    <w:link w:val="TekstprzypisudolnegoZnak"/>
    <w:rsid w:val="00E91F77"/>
    <w:rPr>
      <w:sz w:val="20"/>
      <w:szCs w:val="20"/>
      <w:lang w:eastAsia="fr-BE"/>
    </w:rPr>
  </w:style>
  <w:style w:type="character" w:customStyle="1" w:styleId="TekstprzypisudolnegoZnak">
    <w:name w:val="Tekst przypisu dolnego Znak"/>
    <w:link w:val="Tekstprzypisudolnego"/>
    <w:rsid w:val="00E91F77"/>
    <w:rPr>
      <w:rFonts w:ascii="Georgia" w:hAnsi="Georgia"/>
      <w:kern w:val="4"/>
    </w:rPr>
  </w:style>
  <w:style w:type="character" w:styleId="Odwoanieprzypisudolnego">
    <w:name w:val="footnote reference"/>
    <w:rsid w:val="00E91F77"/>
    <w:rPr>
      <w:vertAlign w:val="superscript"/>
    </w:rPr>
  </w:style>
  <w:style w:type="character" w:styleId="Hipercze">
    <w:name w:val="Hyperlink"/>
    <w:rsid w:val="00E91F77"/>
    <w:rPr>
      <w:color w:val="0000FF"/>
      <w:u w:val="single"/>
    </w:rPr>
  </w:style>
</w:styles>
</file>

<file path=word/webSettings.xml><?xml version="1.0" encoding="utf-8"?>
<w:webSettings xmlns:r="http://schemas.openxmlformats.org/officeDocument/2006/relationships" xmlns:w="http://schemas.openxmlformats.org/wordprocessingml/2006/main">
  <w:divs>
    <w:div w:id="156069267">
      <w:bodyDiv w:val="1"/>
      <w:marLeft w:val="1190"/>
      <w:marRight w:val="1190"/>
      <w:marTop w:val="143"/>
      <w:marBottom w:val="143"/>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opscience.iop.org/article/10.1088/1748-9326/ab6d7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1982</Words>
  <Characters>11897</Characters>
  <Application>Microsoft Office Word</Application>
  <DocSecurity>0</DocSecurity>
  <Lines>99</Lines>
  <Paragraphs>27</Paragraphs>
  <ScaleCrop>false</ScaleCrop>
  <Company>Copa-Cogeca - European Farmers</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dc:creator>
  <cp:keywords/>
  <dc:description>Template letter;
Version 002;
2008-09-18;</dc:description>
  <cp:lastModifiedBy>oem</cp:lastModifiedBy>
  <cp:revision>2</cp:revision>
  <cp:lastPrinted>2008-10-28T18:54:00Z</cp:lastPrinted>
  <dcterms:created xsi:type="dcterms:W3CDTF">2021-04-08T14:43:00Z</dcterms:created>
  <dcterms:modified xsi:type="dcterms:W3CDTF">2021-04-08T14:43:00Z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ThreadMemo">
    <vt:lpwstr>EN(21)1217:2</vt:lpwstr>
  </property>
</Properties>
</file>