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20" w:rsidRPr="00917ECB" w:rsidRDefault="00BF6B20" w:rsidP="00BF6B20">
      <w:pPr>
        <w:tabs>
          <w:tab w:val="left" w:pos="5954"/>
        </w:tabs>
        <w:spacing w:line="240" w:lineRule="auto"/>
        <w:rPr>
          <w:bCs/>
          <w:szCs w:val="21"/>
          <w:lang w:val="fr-BE"/>
        </w:rPr>
      </w:pPr>
      <w:r w:rsidRPr="00917ECB">
        <w:rPr>
          <w:lang w:val="fr-BE"/>
        </w:rPr>
        <w:t>FP(21)1801:2 – ON/rs</w:t>
      </w:r>
      <w:r w:rsidRPr="00917ECB">
        <w:rPr>
          <w:lang w:val="fr-BE"/>
        </w:rPr>
        <w:tab/>
        <w:t>Bruksela, 26 marca 2021 r.</w:t>
      </w:r>
    </w:p>
    <w:p w:rsidR="00BF6B20" w:rsidRPr="00917ECB" w:rsidRDefault="00BF6B20" w:rsidP="0076746E">
      <w:pPr>
        <w:spacing w:line="240" w:lineRule="auto"/>
        <w:jc w:val="center"/>
        <w:rPr>
          <w:b/>
          <w:bCs/>
          <w:sz w:val="32"/>
          <w:szCs w:val="32"/>
          <w:lang w:val="fr-BE"/>
        </w:rPr>
      </w:pPr>
    </w:p>
    <w:p w:rsidR="002C6972" w:rsidRPr="002C6972" w:rsidRDefault="002C6972" w:rsidP="0076746E">
      <w:pPr>
        <w:spacing w:line="240" w:lineRule="auto"/>
        <w:jc w:val="center"/>
        <w:rPr>
          <w:rFonts w:eastAsia="Calibri"/>
          <w:b/>
          <w:bCs/>
          <w:kern w:val="0"/>
          <w:sz w:val="32"/>
          <w:szCs w:val="32"/>
        </w:rPr>
      </w:pPr>
      <w:r>
        <w:rPr>
          <w:b/>
          <w:bCs/>
          <w:sz w:val="32"/>
          <w:szCs w:val="32"/>
        </w:rPr>
        <w:t>NOWA STRATEGIA LEŚNA UE</w:t>
      </w:r>
    </w:p>
    <w:p w:rsidR="007245C8" w:rsidRPr="00A060F6" w:rsidRDefault="002C6972" w:rsidP="00A060F6">
      <w:pPr>
        <w:spacing w:after="160" w:line="259" w:lineRule="auto"/>
        <w:jc w:val="center"/>
        <w:rPr>
          <w:rFonts w:eastAsia="Calibri"/>
          <w:b/>
          <w:bCs/>
          <w:kern w:val="0"/>
          <w:sz w:val="22"/>
          <w:szCs w:val="22"/>
        </w:rPr>
      </w:pPr>
      <w:r>
        <w:rPr>
          <w:b/>
          <w:bCs/>
          <w:sz w:val="32"/>
          <w:szCs w:val="32"/>
        </w:rPr>
        <w:t>NASZE LASY - NASZA PRZYSZŁOŚĆ</w:t>
      </w:r>
    </w:p>
    <w:p w:rsidR="007245C8" w:rsidRDefault="007245C8" w:rsidP="00A060F6">
      <w:pPr>
        <w:spacing w:after="120" w:line="240" w:lineRule="auto"/>
      </w:pPr>
      <w:bookmarkStart w:id="0" w:name="_Hlk67036433"/>
      <w:r>
        <w:t xml:space="preserve">Strategia leśna UE powinna pozostać głównym narzędziem polityki włączającym europejskie lasy i leśnictwo do innych obszarów polityki. </w:t>
      </w:r>
    </w:p>
    <w:p w:rsidR="007245C8" w:rsidRDefault="007245C8" w:rsidP="00A060F6">
      <w:pPr>
        <w:spacing w:after="120" w:line="240" w:lineRule="auto"/>
      </w:pPr>
      <w:r>
        <w:t xml:space="preserve">Niniejszy dokument rzuca światło na poglądy właścicieli i zarządców lasów, zwracając uwagę na rzeczywistość panującą w terenie i inne kluczowe kwestie, które należy wziąć pod uwagę, jeśli chcemy, by strategia leśna stała się prawdziwym punktem odniesienia dla europejskich lasów i leśnictwa. </w:t>
      </w:r>
    </w:p>
    <w:p w:rsidR="007245C8" w:rsidRDefault="007245C8" w:rsidP="00A060F6">
      <w:pPr>
        <w:spacing w:after="120" w:line="240" w:lineRule="auto"/>
      </w:pPr>
      <w:r>
        <w:t>Lasy i leśnictwo dysponują niesamowitym potencjałem, gdyż mogą równocześnie reagować na wiele wyzwań społecznych, które opisano w Europejskim Zielonym Ładzie. Stanowią ważny element naszych wspólnych wysiłków na rzecz stworzenia bardziej zrównoważonego społeczeństwa i gospodarki.</w:t>
      </w:r>
    </w:p>
    <w:p w:rsidR="007245C8" w:rsidRDefault="007245C8" w:rsidP="007245C8">
      <w:r>
        <w:t>Zamiast ulegać pokusie spolaryzowanych poglądów, powinniśmy poszukać sposobów na wzmocnienie synergii i zminimalizowanie ewentualnych kompromisów między różnymi potrzebami lasów. Wymaga to jednak pogłębionej analizy, fachowej wiedzy z zakresu leśnictwa i zaangażowania ekspertów oraz stron zainteresowanych - zwłaszcza ze względu na wpływ zmiennych warunków naturalnych, sytuacji rynkowej i trendów społecznych.</w:t>
      </w:r>
    </w:p>
    <w:bookmarkEnd w:id="0"/>
    <w:p w:rsidR="007245C8" w:rsidRPr="00035317" w:rsidRDefault="007245C8" w:rsidP="00035317">
      <w:pPr>
        <w:spacing w:after="120" w:line="240" w:lineRule="auto"/>
        <w:ind w:left="284"/>
        <w:rPr>
          <w:rFonts w:eastAsia="Calibri"/>
          <w:b/>
          <w:i/>
          <w:kern w:val="0"/>
          <w:sz w:val="24"/>
        </w:rPr>
      </w:pPr>
    </w:p>
    <w:p w:rsidR="002C6972" w:rsidRPr="002C6972" w:rsidRDefault="002C6972" w:rsidP="002C6972">
      <w:pPr>
        <w:numPr>
          <w:ilvl w:val="0"/>
          <w:numId w:val="2"/>
        </w:numPr>
        <w:spacing w:after="120" w:line="240" w:lineRule="auto"/>
        <w:ind w:left="284" w:hanging="284"/>
        <w:rPr>
          <w:rFonts w:eastAsia="Calibri"/>
          <w:b/>
          <w:i/>
          <w:kern w:val="0"/>
          <w:sz w:val="24"/>
        </w:rPr>
      </w:pPr>
      <w:r>
        <w:rPr>
          <w:b/>
          <w:i/>
          <w:sz w:val="24"/>
        </w:rPr>
        <w:t>Co wiemy (lub czego nie wiemy) na temat europejskich lasów i osób, które w nich pracują?</w:t>
      </w:r>
    </w:p>
    <w:p w:rsidR="00216384" w:rsidRDefault="002C6972" w:rsidP="002C6972">
      <w:pPr>
        <w:spacing w:after="120" w:line="240" w:lineRule="auto"/>
        <w:ind w:left="284"/>
      </w:pPr>
      <w:r>
        <w:t>Jeśli przyjrzymy się aktualnym debatom politycznym na temat stanu lasów i ich wkładu w osiągnięcie kluczowych celów, które toczą się w UE, to zauważymy, że podstawowe kwestie dotyczące naszych lasów oraz wiedza fachowa ich właścicieli nie są brane pod uwagę w wystarczającym stopniu.</w:t>
      </w:r>
    </w:p>
    <w:p w:rsidR="00834D50" w:rsidRPr="00035317" w:rsidRDefault="002C6972" w:rsidP="00BA365B">
      <w:pPr>
        <w:spacing w:after="120" w:line="240" w:lineRule="auto"/>
        <w:ind w:left="284"/>
      </w:pPr>
      <w:r>
        <w:t>Podczas prac nad przyszła strategią leśną UE trzeba uwzględnić najnowsze dane liczbowe na temat stanu naszych lasów. Należy również zapoznać się z odmiennymi realiami w terenie i mozaikową strukturą typową dla unijnych lasów. UE jest wzorcem do naśladowania w zakresie zrównoważo</w:t>
      </w:r>
      <w:r w:rsidR="00917ECB">
        <w:t>nej gospodarki leśnej, która jest</w:t>
      </w:r>
      <w:r>
        <w:t xml:space="preserve"> w pełni realizowana w praktyce. Zrównoważona gospodarka leśna rozwija się od wieków. Co więcej, czynniki odpowiedzialne za najbardziej odczuwalne zmiany w lasach i leśnictwie pochodzą spoza sektora. Są to m.in. zmiany klimatu, które już w znacznym stopniu wpływają na nasze społeczeństwo i ekosystemy, gdyż powodują burze, susze, powodzie, ataki szkodników i chorób oraz ogromne pożary. Nie można już uznać za pewnik stabilności ekosystemów, w tym ekosystemu leśnego.  </w:t>
      </w:r>
    </w:p>
    <w:p w:rsidR="002C6972" w:rsidRPr="002C6972" w:rsidRDefault="002C6972" w:rsidP="00035317">
      <w:pPr>
        <w:spacing w:after="120" w:line="240" w:lineRule="auto"/>
        <w:ind w:left="720" w:hanging="436"/>
        <w:rPr>
          <w:rFonts w:eastAsia="Calibri"/>
          <w:bCs/>
          <w:iCs/>
          <w:kern w:val="0"/>
          <w:szCs w:val="21"/>
        </w:rPr>
      </w:pPr>
      <w:r>
        <w:t xml:space="preserve">Z niedawno opublikowanego sprawozdania w sprawie stanu europejskich lasów „State of </w:t>
      </w:r>
      <w:proofErr w:type="spellStart"/>
      <w:r>
        <w:t>Europe’s</w:t>
      </w:r>
      <w:proofErr w:type="spellEnd"/>
      <w:r>
        <w:t xml:space="preserve"> </w:t>
      </w:r>
      <w:proofErr w:type="spellStart"/>
      <w:r>
        <w:t>Forests</w:t>
      </w:r>
      <w:proofErr w:type="spellEnd"/>
      <w:r>
        <w:t>”</w:t>
      </w:r>
      <w:r w:rsidR="00591385">
        <w:rPr>
          <w:rStyle w:val="Odwoanieprzypisudolnego"/>
        </w:rPr>
        <w:footnoteReference w:id="2"/>
      </w:r>
      <w:r>
        <w:t xml:space="preserve"> wynika, że: </w:t>
      </w:r>
    </w:p>
    <w:p w:rsidR="002C6972" w:rsidRPr="002C6972" w:rsidRDefault="002C6972" w:rsidP="002C6972">
      <w:pPr>
        <w:numPr>
          <w:ilvl w:val="0"/>
          <w:numId w:val="5"/>
        </w:numPr>
        <w:spacing w:after="120" w:line="240" w:lineRule="auto"/>
        <w:ind w:left="851" w:hanging="284"/>
        <w:contextualSpacing/>
        <w:rPr>
          <w:rFonts w:eastAsia="Calibri"/>
          <w:kern w:val="0"/>
          <w:szCs w:val="21"/>
        </w:rPr>
      </w:pPr>
      <w:r>
        <w:t xml:space="preserve">Obszar zalesiony w Europie zwiększył się o 9% w ciągu ostatnich 30 lat;  </w:t>
      </w:r>
    </w:p>
    <w:p w:rsidR="002C6972" w:rsidRPr="002C6972" w:rsidRDefault="002C6972" w:rsidP="002C6972">
      <w:pPr>
        <w:numPr>
          <w:ilvl w:val="0"/>
          <w:numId w:val="5"/>
        </w:numPr>
        <w:spacing w:after="120" w:line="240" w:lineRule="auto"/>
        <w:ind w:left="851" w:hanging="284"/>
        <w:contextualSpacing/>
        <w:rPr>
          <w:rFonts w:eastAsia="Calibri"/>
          <w:kern w:val="0"/>
          <w:szCs w:val="21"/>
        </w:rPr>
      </w:pPr>
      <w:r>
        <w:t xml:space="preserve">Wolumen drewna i waga dwutlenku węgla magazynowanego w unijnych lasach zwiększyły się o 50% w ciągu 30 lat; </w:t>
      </w:r>
    </w:p>
    <w:p w:rsidR="002C6972" w:rsidRPr="002C6972" w:rsidRDefault="002C6972" w:rsidP="002C6972">
      <w:pPr>
        <w:numPr>
          <w:ilvl w:val="0"/>
          <w:numId w:val="5"/>
        </w:numPr>
        <w:spacing w:after="120" w:line="240" w:lineRule="auto"/>
        <w:ind w:left="851" w:hanging="284"/>
        <w:contextualSpacing/>
        <w:rPr>
          <w:rFonts w:eastAsia="Calibri"/>
          <w:kern w:val="0"/>
          <w:szCs w:val="21"/>
        </w:rPr>
      </w:pPr>
      <w:r>
        <w:t>Ok. 75% rocznego przyrostu drewna jest wycinane;</w:t>
      </w:r>
    </w:p>
    <w:p w:rsidR="002C6972" w:rsidRPr="002C6972" w:rsidRDefault="002C6972" w:rsidP="002C6972">
      <w:pPr>
        <w:numPr>
          <w:ilvl w:val="0"/>
          <w:numId w:val="5"/>
        </w:numPr>
        <w:spacing w:after="120" w:line="240" w:lineRule="auto"/>
        <w:ind w:left="851" w:hanging="284"/>
        <w:contextualSpacing/>
        <w:rPr>
          <w:rFonts w:eastAsia="Calibri"/>
          <w:kern w:val="0"/>
          <w:szCs w:val="21"/>
        </w:rPr>
      </w:pPr>
      <w:r>
        <w:t>Wolumen dostaw drewna zwiększył się o 40% od 1990 roku, osiągając poziom 550</w:t>
      </w:r>
      <w:r w:rsidR="00FD1243">
        <w:t> </w:t>
      </w:r>
      <w:r>
        <w:t>mln</w:t>
      </w:r>
      <w:r w:rsidR="00FD1243">
        <w:t> </w:t>
      </w:r>
      <w:r>
        <w:t>m</w:t>
      </w:r>
      <w:r>
        <w:rPr>
          <w:vertAlign w:val="superscript"/>
        </w:rPr>
        <w:t>3</w:t>
      </w:r>
      <w:r>
        <w:t>;</w:t>
      </w:r>
    </w:p>
    <w:p w:rsidR="002C6972" w:rsidRPr="002C6972" w:rsidRDefault="002C6972" w:rsidP="002C6972">
      <w:pPr>
        <w:numPr>
          <w:ilvl w:val="0"/>
          <w:numId w:val="5"/>
        </w:numPr>
        <w:spacing w:after="120" w:line="240" w:lineRule="auto"/>
        <w:ind w:left="851" w:hanging="284"/>
        <w:contextualSpacing/>
        <w:rPr>
          <w:rFonts w:eastAsia="Calibri"/>
          <w:kern w:val="0"/>
          <w:szCs w:val="21"/>
        </w:rPr>
      </w:pPr>
      <w:r>
        <w:lastRenderedPageBreak/>
        <w:t>W europejskich lasach dominują drzewostany, w skład których wchodzą dwa lub trzy gatunki;</w:t>
      </w:r>
    </w:p>
    <w:p w:rsidR="002C6972" w:rsidRPr="002C6972" w:rsidRDefault="002C6972" w:rsidP="002C6972">
      <w:pPr>
        <w:numPr>
          <w:ilvl w:val="0"/>
          <w:numId w:val="5"/>
        </w:numPr>
        <w:spacing w:after="120" w:line="240" w:lineRule="auto"/>
        <w:ind w:left="851" w:hanging="284"/>
        <w:contextualSpacing/>
        <w:rPr>
          <w:rFonts w:eastAsia="Calibri"/>
          <w:kern w:val="0"/>
          <w:szCs w:val="21"/>
        </w:rPr>
      </w:pPr>
      <w:r>
        <w:t>Populacje powszechnych gatunków ptaków leśnych są stabilne;</w:t>
      </w:r>
    </w:p>
    <w:p w:rsidR="002C6972" w:rsidRPr="002C6972" w:rsidRDefault="002C6972" w:rsidP="002C6972">
      <w:pPr>
        <w:numPr>
          <w:ilvl w:val="0"/>
          <w:numId w:val="5"/>
        </w:numPr>
        <w:spacing w:after="120" w:line="240" w:lineRule="auto"/>
        <w:ind w:left="851" w:hanging="284"/>
        <w:contextualSpacing/>
        <w:rPr>
          <w:rFonts w:eastAsia="Calibri"/>
          <w:kern w:val="0"/>
          <w:szCs w:val="21"/>
        </w:rPr>
      </w:pPr>
      <w:r>
        <w:t>Część lasów przeznaczona na ochronę różnorodności biologicznej wzrosła o 65% w ciągu 20 lat, a obszar przeznaczony na ochronę krajobrazów o 8%;</w:t>
      </w:r>
    </w:p>
    <w:p w:rsidR="002C6972" w:rsidRPr="00BA365B" w:rsidRDefault="002C6972" w:rsidP="002C6972">
      <w:pPr>
        <w:numPr>
          <w:ilvl w:val="0"/>
          <w:numId w:val="5"/>
        </w:numPr>
        <w:spacing w:after="120" w:line="240" w:lineRule="auto"/>
        <w:ind w:left="851" w:hanging="284"/>
        <w:contextualSpacing/>
        <w:rPr>
          <w:rFonts w:eastAsia="Calibri"/>
          <w:kern w:val="0"/>
          <w:szCs w:val="21"/>
        </w:rPr>
      </w:pPr>
      <w:r>
        <w:t>Liczba jednostek ochrony genetycznej zwiększyła się dziesięciokrotnie od 1990 r.;</w:t>
      </w:r>
    </w:p>
    <w:p w:rsidR="007245C8" w:rsidRPr="006A6770" w:rsidRDefault="00834D50" w:rsidP="002C6972">
      <w:pPr>
        <w:numPr>
          <w:ilvl w:val="0"/>
          <w:numId w:val="5"/>
        </w:numPr>
        <w:spacing w:after="120" w:line="240" w:lineRule="auto"/>
        <w:ind w:left="851" w:hanging="284"/>
        <w:rPr>
          <w:rFonts w:eastAsia="Calibri"/>
          <w:kern w:val="0"/>
          <w:szCs w:val="21"/>
        </w:rPr>
      </w:pPr>
      <w:r>
        <w:t xml:space="preserve">W latach 2010-2018 utrata ulistnienia wzrosła o 19% w unijnych lasach. </w:t>
      </w:r>
    </w:p>
    <w:p w:rsidR="00617974" w:rsidRPr="00035317" w:rsidRDefault="00216384" w:rsidP="009D2020">
      <w:pPr>
        <w:spacing w:after="160" w:line="259" w:lineRule="auto"/>
        <w:ind w:left="284"/>
        <w:rPr>
          <w:sz w:val="22"/>
        </w:rPr>
      </w:pPr>
      <w:r>
        <w:t>Podczas prac nad strategią leśną UE należy pamiętać również o ludzkim wymiarze lasów, który okaże się jeszcze ważniejszy, jeśli weźmiemy pod uwagę strukturę własności lasów prywatnych. Średni rozmiar prywatnego gospodarstwa leśnego w UE wynosi ok. 13 ha. Aczkolwiek, ok. dwie-trzecie z 16 mln prywatnych właścicieli lasów –</w:t>
      </w:r>
      <w:r>
        <w:rPr>
          <w:color w:val="3C4043"/>
          <w:szCs w:val="21"/>
          <w:shd w:val="clear" w:color="auto" w:fill="FFFFFF"/>
        </w:rPr>
        <w:t xml:space="preserve"> </w:t>
      </w:r>
      <w:r>
        <w:t>których lasy pokrywają 60% terenów zalesionych w UE - prowadzą gospodarstwa, których powierzchnia nie przekracza 3 ha.  Właściciele lasów zwracają uwagę przede wszystkim na potrzeby przyszłych pokoleń. Oznacza to, że są altruistami i przedkładają potrzeby innych ponad swoje.</w:t>
      </w:r>
      <w:r>
        <w:rPr>
          <w:sz w:val="22"/>
          <w:szCs w:val="22"/>
        </w:rPr>
        <w:t xml:space="preserve"> </w:t>
      </w:r>
    </w:p>
    <w:p w:rsidR="00991E55" w:rsidRPr="00035317" w:rsidRDefault="00991E55" w:rsidP="002C6972">
      <w:pPr>
        <w:spacing w:after="120" w:line="240" w:lineRule="auto"/>
        <w:rPr>
          <w:rFonts w:eastAsia="Calibri"/>
          <w:kern w:val="0"/>
        </w:rPr>
      </w:pPr>
    </w:p>
    <w:p w:rsidR="002C6972" w:rsidRPr="002C6972" w:rsidRDefault="002C6972" w:rsidP="002C6972">
      <w:pPr>
        <w:spacing w:after="120" w:line="240" w:lineRule="auto"/>
        <w:ind w:left="720" w:hanging="436"/>
        <w:rPr>
          <w:rFonts w:eastAsia="Calibri"/>
          <w:bCs/>
          <w:iCs/>
          <w:kern w:val="0"/>
          <w:sz w:val="22"/>
          <w:szCs w:val="22"/>
        </w:rPr>
      </w:pPr>
      <w:r>
        <w:t>Dodatkowe informacje można uzyskać tutaj:</w:t>
      </w:r>
      <w:r>
        <w:rPr>
          <w:bCs/>
          <w:iCs/>
          <w:sz w:val="22"/>
          <w:szCs w:val="22"/>
        </w:rPr>
        <w:t xml:space="preserve"> link do filmiku</w:t>
      </w:r>
    </w:p>
    <w:p w:rsidR="002C6972" w:rsidRPr="002C6972" w:rsidRDefault="002C6972" w:rsidP="002C6972">
      <w:pPr>
        <w:spacing w:after="120" w:line="240" w:lineRule="auto"/>
        <w:ind w:left="720"/>
        <w:rPr>
          <w:rFonts w:eastAsia="Calibri"/>
          <w:b/>
          <w:i/>
          <w:kern w:val="0"/>
          <w:sz w:val="22"/>
          <w:szCs w:val="22"/>
          <w:lang w:eastAsia="en-US"/>
        </w:rPr>
      </w:pPr>
    </w:p>
    <w:p w:rsidR="00617974" w:rsidRPr="00035317" w:rsidRDefault="001C4C21" w:rsidP="00034C8F">
      <w:pPr>
        <w:numPr>
          <w:ilvl w:val="0"/>
          <w:numId w:val="2"/>
        </w:numPr>
        <w:spacing w:after="120" w:line="240" w:lineRule="auto"/>
        <w:ind w:left="284" w:hanging="284"/>
        <w:rPr>
          <w:b/>
          <w:i/>
          <w:sz w:val="24"/>
        </w:rPr>
      </w:pPr>
      <w:r>
        <w:rPr>
          <w:b/>
          <w:i/>
          <w:sz w:val="24"/>
        </w:rPr>
        <w:t>Jakie wnioski wyciągnęliśmy z aktualnej strategii leśnej UE?</w:t>
      </w:r>
    </w:p>
    <w:p w:rsidR="002C6972" w:rsidRPr="002C6972" w:rsidRDefault="002C6972" w:rsidP="002C6972">
      <w:pPr>
        <w:spacing w:after="120" w:line="240" w:lineRule="auto"/>
        <w:ind w:left="284"/>
        <w:rPr>
          <w:rFonts w:eastAsia="Calibri"/>
          <w:iCs/>
          <w:kern w:val="0"/>
          <w:szCs w:val="21"/>
        </w:rPr>
      </w:pPr>
      <w:r>
        <w:t xml:space="preserve">Ze śródokresowego przeglądu aktualnej strategii wynika, że musi ona odnieść się do coraz większych wymagań społeczeństwa dotyczących lasów i coraz silniejszej presji klimatycznej. Wymaga to dodatkowych wysiłków i zaangażowania ze strony wszystkich odpowiednich podmiotów, by zacieśnić w ten sposób współpracę oraz zwiększyć koordynację i zaangażowanie ekspertów - zarówno między sektorami jak również między Komisja, państwami członkowskimi i innymi zainteresowanymi stronami.  </w:t>
      </w:r>
    </w:p>
    <w:p w:rsidR="002C6972" w:rsidRPr="002C6972" w:rsidRDefault="002C6972" w:rsidP="002C6972">
      <w:pPr>
        <w:spacing w:after="120" w:line="240" w:lineRule="auto"/>
        <w:ind w:left="284"/>
        <w:rPr>
          <w:rFonts w:eastAsia="Calibri"/>
          <w:bCs/>
          <w:iCs/>
          <w:kern w:val="0"/>
          <w:sz w:val="22"/>
          <w:szCs w:val="22"/>
        </w:rPr>
      </w:pPr>
      <w:r>
        <w:t>Dodatkowo, przyszła strategia musi podnosić świadomość na temat społecznej wartości lasów i znaczenia aktywnej gospodarki nimi. Pozwoli to zapewnić szerokie wsparcie społeczne dla zrównoważonej gospodarki leśnej oraz zwiększyć wkład lasów w realizację celów UE.</w:t>
      </w:r>
    </w:p>
    <w:p w:rsidR="002C6972" w:rsidRPr="002C6972" w:rsidRDefault="002C6972" w:rsidP="002C6972">
      <w:pPr>
        <w:spacing w:after="160" w:line="259" w:lineRule="auto"/>
        <w:ind w:left="720"/>
        <w:contextualSpacing/>
        <w:rPr>
          <w:rFonts w:eastAsia="Calibri"/>
          <w:b/>
          <w:i/>
          <w:kern w:val="0"/>
          <w:sz w:val="22"/>
          <w:szCs w:val="22"/>
          <w:lang w:eastAsia="en-US"/>
        </w:rPr>
      </w:pPr>
    </w:p>
    <w:p w:rsidR="00617974" w:rsidRPr="00035317" w:rsidRDefault="001C4C21" w:rsidP="00A060F6">
      <w:pPr>
        <w:numPr>
          <w:ilvl w:val="0"/>
          <w:numId w:val="2"/>
        </w:numPr>
        <w:spacing w:after="120" w:line="240" w:lineRule="auto"/>
        <w:ind w:left="284" w:hanging="284"/>
        <w:rPr>
          <w:b/>
          <w:i/>
          <w:sz w:val="24"/>
        </w:rPr>
      </w:pPr>
      <w:r>
        <w:rPr>
          <w:b/>
          <w:i/>
          <w:sz w:val="24"/>
        </w:rPr>
        <w:t>Jak zdaniem Parlamentu Europejskiego i Rady powinna wyglądać przyszła strategia?</w:t>
      </w:r>
    </w:p>
    <w:p w:rsidR="002C6972" w:rsidRPr="002C6972" w:rsidRDefault="002C6972" w:rsidP="002C6972">
      <w:pPr>
        <w:spacing w:after="120" w:line="240" w:lineRule="auto"/>
        <w:ind w:left="284"/>
        <w:rPr>
          <w:rFonts w:eastAsia="Calibri"/>
          <w:bCs/>
          <w:iCs/>
          <w:kern w:val="0"/>
          <w:szCs w:val="21"/>
        </w:rPr>
      </w:pPr>
      <w:r>
        <w:t>Parlament Europejski</w:t>
      </w:r>
      <w:r w:rsidR="00591385">
        <w:rPr>
          <w:rStyle w:val="Odwoanieprzypisudolnego"/>
        </w:rPr>
        <w:footnoteReference w:id="3"/>
      </w:r>
      <w:r>
        <w:t xml:space="preserve"> i Rada</w:t>
      </w:r>
      <w:r w:rsidR="00591385">
        <w:rPr>
          <w:rStyle w:val="Odwoanieprzypisudolnego"/>
        </w:rPr>
        <w:footnoteReference w:id="4"/>
      </w:r>
      <w:r>
        <w:t xml:space="preserve"> wystosowały zdecydowane przesłanie do Komisji na temat głównej roli i celów przyszłej strategii leśnej UE. Niektóre z wymienionych poniżej postulatów powinny znaleźć się w ostatecznej wersji wniosku Komisji:</w:t>
      </w:r>
    </w:p>
    <w:p w:rsidR="002C6972" w:rsidRPr="002C6972" w:rsidRDefault="002C6972" w:rsidP="002C6972">
      <w:pPr>
        <w:numPr>
          <w:ilvl w:val="0"/>
          <w:numId w:val="4"/>
        </w:numPr>
        <w:spacing w:after="120" w:line="240" w:lineRule="auto"/>
        <w:ind w:left="851" w:hanging="284"/>
        <w:rPr>
          <w:rFonts w:eastAsia="Calibri"/>
          <w:bCs/>
          <w:iCs/>
          <w:kern w:val="0"/>
          <w:szCs w:val="21"/>
        </w:rPr>
      </w:pPr>
      <w:r>
        <w:t>Przyszła strategia musi być ambitna i zapewnić spójność, zgodność i lepszą integrację z wszystkimi politykami UE, które odnoszą się do lasów. Musi być wywarzona i powinna zostać opracowana przy współpracy i koordynacji z państwami członkowskimi i stronami zainteresowanymi, zwłaszcza tymi,</w:t>
      </w:r>
      <w:r w:rsidR="00FD1243">
        <w:t xml:space="preserve"> które reprezentują osoby żyjące</w:t>
      </w:r>
      <w:r>
        <w:t xml:space="preserve"> i pracując</w:t>
      </w:r>
      <w:r w:rsidR="00FD1243">
        <w:t>e</w:t>
      </w:r>
      <w:r>
        <w:t xml:space="preserve"> w lasach i się z nich utrzymując</w:t>
      </w:r>
      <w:r w:rsidR="00FD1243">
        <w:t>e</w:t>
      </w:r>
      <w:r>
        <w:t xml:space="preserve">.  </w:t>
      </w:r>
    </w:p>
    <w:p w:rsidR="002C6972" w:rsidRPr="002C6972" w:rsidRDefault="002C6972" w:rsidP="002C6972">
      <w:pPr>
        <w:numPr>
          <w:ilvl w:val="0"/>
          <w:numId w:val="4"/>
        </w:numPr>
        <w:spacing w:after="120" w:line="240" w:lineRule="auto"/>
        <w:ind w:left="851" w:hanging="284"/>
        <w:rPr>
          <w:rFonts w:eastAsia="Calibri"/>
          <w:bCs/>
          <w:iCs/>
          <w:kern w:val="0"/>
          <w:szCs w:val="21"/>
        </w:rPr>
      </w:pPr>
      <w:r>
        <w:t>Strategia powinna też objąć konkretne, skuteczne środki zwiększające odporność i zdolność dostosowywania się do skutków zmian klimatu, tworząc w ten sposób ścisłe powiązania między łagodzeniem skutków zmian klimatu i dostosowywaniem się do nich poprzez zrównoważoną gospodarkę leśną oraz solidne badania naukowe i innowacje.</w:t>
      </w:r>
    </w:p>
    <w:p w:rsidR="006A6770" w:rsidRPr="00B5468A" w:rsidRDefault="002C6972" w:rsidP="00B5468A">
      <w:pPr>
        <w:numPr>
          <w:ilvl w:val="0"/>
          <w:numId w:val="4"/>
        </w:numPr>
        <w:spacing w:after="120" w:line="240" w:lineRule="auto"/>
        <w:ind w:left="851" w:hanging="284"/>
        <w:rPr>
          <w:rFonts w:eastAsia="Calibri"/>
          <w:bCs/>
          <w:iCs/>
          <w:kern w:val="0"/>
          <w:sz w:val="22"/>
          <w:szCs w:val="22"/>
        </w:rPr>
      </w:pPr>
      <w:r>
        <w:t xml:space="preserve">By móc zrealizować swoje cele, strategia musi promować wykorzystanie narzędzi finansowych UE, jak na przykład środków rozwoju obszarów wiejskich w ramach przyszłych planów strategicznych WPR, funduszy spójności, </w:t>
      </w:r>
      <w:proofErr w:type="spellStart"/>
      <w:r>
        <w:t>InvestEU</w:t>
      </w:r>
      <w:proofErr w:type="spellEnd"/>
      <w:r>
        <w:t xml:space="preserve">, a także programów Horyzont Europa i Life, by w ten sposób wspierać zrównoważoną </w:t>
      </w:r>
      <w:r>
        <w:lastRenderedPageBreak/>
        <w:t>gospodarkę leśną, w tym dostosowywanie lasów do skutków zmian klimatu, ochronę różnorodności biologicznej i żywotność obszarów wiejskich.</w:t>
      </w:r>
    </w:p>
    <w:p w:rsidR="006A6770" w:rsidRPr="00A060F6" w:rsidRDefault="006A6770" w:rsidP="00A060F6">
      <w:pPr>
        <w:spacing w:after="120" w:line="240" w:lineRule="auto"/>
        <w:ind w:left="851"/>
        <w:rPr>
          <w:rFonts w:eastAsia="Calibri"/>
          <w:bCs/>
          <w:iCs/>
          <w:kern w:val="0"/>
          <w:sz w:val="22"/>
          <w:szCs w:val="22"/>
        </w:rPr>
      </w:pPr>
    </w:p>
    <w:p w:rsidR="002C6972" w:rsidRPr="00035317" w:rsidRDefault="001C4C21" w:rsidP="006A6770">
      <w:pPr>
        <w:numPr>
          <w:ilvl w:val="0"/>
          <w:numId w:val="2"/>
        </w:numPr>
        <w:spacing w:after="120" w:line="240" w:lineRule="auto"/>
        <w:ind w:left="284" w:hanging="284"/>
        <w:rPr>
          <w:b/>
          <w:i/>
          <w:sz w:val="24"/>
        </w:rPr>
      </w:pPr>
      <w:r>
        <w:rPr>
          <w:b/>
          <w:i/>
          <w:sz w:val="24"/>
        </w:rPr>
        <w:t xml:space="preserve"> Co dalej? Wizja właścicieli lasów i trzy główne postulaty dotyczące przyszłej strategii:</w:t>
      </w:r>
    </w:p>
    <w:p w:rsidR="002C6972" w:rsidRPr="002C6972" w:rsidRDefault="002C6972" w:rsidP="002C6972">
      <w:pPr>
        <w:spacing w:after="120" w:line="240" w:lineRule="auto"/>
        <w:ind w:left="567" w:hanging="283"/>
        <w:rPr>
          <w:rFonts w:eastAsia="Calibri"/>
          <w:b/>
          <w:bCs/>
          <w:i/>
          <w:iCs/>
          <w:kern w:val="0"/>
          <w:sz w:val="24"/>
        </w:rPr>
      </w:pPr>
      <w:r>
        <w:rPr>
          <w:b/>
          <w:bCs/>
          <w:sz w:val="24"/>
        </w:rPr>
        <w:t>Do roku 2030 strategia leśna UE powinna:</w:t>
      </w:r>
    </w:p>
    <w:p w:rsidR="002C6972" w:rsidRPr="002C6972" w:rsidRDefault="002C6972" w:rsidP="002C6972">
      <w:pPr>
        <w:numPr>
          <w:ilvl w:val="0"/>
          <w:numId w:val="3"/>
        </w:numPr>
        <w:tabs>
          <w:tab w:val="left" w:pos="851"/>
        </w:tabs>
        <w:spacing w:after="120" w:line="240" w:lineRule="auto"/>
        <w:ind w:left="851" w:hanging="284"/>
        <w:rPr>
          <w:rFonts w:eastAsia="Calibri"/>
          <w:kern w:val="0"/>
          <w:szCs w:val="21"/>
        </w:rPr>
      </w:pPr>
      <w:r>
        <w:t xml:space="preserve">w zrównoważony sposób przyczynić się do włączenia koncepcji zrównoważonej gospodarki leśnej do wszystkich ważnych dla sektora lasów polityk UE; </w:t>
      </w:r>
    </w:p>
    <w:p w:rsidR="002C6972" w:rsidRPr="002C6972" w:rsidRDefault="002C6972" w:rsidP="002C6972">
      <w:pPr>
        <w:numPr>
          <w:ilvl w:val="0"/>
          <w:numId w:val="3"/>
        </w:numPr>
        <w:tabs>
          <w:tab w:val="left" w:pos="851"/>
        </w:tabs>
        <w:spacing w:after="120" w:line="240" w:lineRule="auto"/>
        <w:ind w:left="851" w:hanging="284"/>
        <w:rPr>
          <w:rFonts w:eastAsia="Calibri"/>
          <w:kern w:val="0"/>
          <w:szCs w:val="21"/>
        </w:rPr>
      </w:pPr>
      <w:r>
        <w:t>wspierać inwestycje, innowacje i monitorowanie na rzecz odpornych lasów i zrównoważonego sektora leśnego;</w:t>
      </w:r>
    </w:p>
    <w:p w:rsidR="005B07F7" w:rsidRPr="00617974" w:rsidRDefault="002C6972" w:rsidP="00617974">
      <w:pPr>
        <w:numPr>
          <w:ilvl w:val="0"/>
          <w:numId w:val="3"/>
        </w:numPr>
        <w:tabs>
          <w:tab w:val="left" w:pos="851"/>
        </w:tabs>
        <w:spacing w:after="120" w:line="240" w:lineRule="auto"/>
        <w:ind w:left="851" w:hanging="284"/>
        <w:contextualSpacing/>
        <w:rPr>
          <w:rFonts w:eastAsia="Calibri"/>
          <w:kern w:val="0"/>
          <w:sz w:val="22"/>
          <w:szCs w:val="22"/>
        </w:rPr>
      </w:pPr>
      <w:r>
        <w:t>zapewnić solidne podstawy, by leśnictwo i cały łańcuch wartości leśnictwa mogły w znacznym stopniu przyczynić się do rozwoju biogospodarki i dążyć do osiągnięcia neutralności klimatycznej.</w:t>
      </w:r>
    </w:p>
    <w:p w:rsidR="005B07F7" w:rsidRPr="00035317" w:rsidRDefault="005B07F7" w:rsidP="00035317">
      <w:pPr>
        <w:spacing w:after="120" w:line="240" w:lineRule="auto"/>
        <w:ind w:left="567" w:hanging="283"/>
        <w:rPr>
          <w:b/>
          <w:i/>
          <w:sz w:val="24"/>
        </w:rPr>
      </w:pPr>
    </w:p>
    <w:p w:rsidR="00617974" w:rsidRPr="00035317" w:rsidRDefault="00F54632" w:rsidP="00035317">
      <w:pPr>
        <w:pStyle w:val="Akapitzlist"/>
        <w:numPr>
          <w:ilvl w:val="0"/>
          <w:numId w:val="11"/>
        </w:numPr>
        <w:spacing w:after="120" w:line="240" w:lineRule="auto"/>
        <w:rPr>
          <w:b/>
          <w:kern w:val="4"/>
          <w:sz w:val="24"/>
        </w:rPr>
      </w:pPr>
      <w:r>
        <w:rPr>
          <w:rFonts w:ascii="Georgia" w:hAnsi="Georgia"/>
          <w:b/>
          <w:sz w:val="24"/>
        </w:rPr>
        <w:t>Gospodarka leśna: dostosowywać, ale nie wymyślać na nowo</w:t>
      </w:r>
    </w:p>
    <w:p w:rsidR="002C6972" w:rsidRPr="002C6972" w:rsidRDefault="002C6972" w:rsidP="002C6972">
      <w:pPr>
        <w:tabs>
          <w:tab w:val="left" w:pos="2810"/>
        </w:tabs>
        <w:spacing w:after="240" w:line="240" w:lineRule="auto"/>
        <w:ind w:left="284"/>
        <w:contextualSpacing/>
        <w:rPr>
          <w:rFonts w:eastAsia="Calibri"/>
          <w:kern w:val="0"/>
          <w:szCs w:val="21"/>
        </w:rPr>
      </w:pPr>
      <w:r>
        <w:t>Oczekiwania społeczne dotyczące lasów rosną od dziesięcioleci. Lasy mają być jednym z głównych rozwiązań dla kryzysów klimatycznego, różnorodności biologicznej i Covid. Obywatele oczekują większej liczby materiałów drewnopochodnych, czystej wody i przyjemnych, otwartych leśnych terenów rekreacyjnych. Praktyczną wielofunkcyjność można osiągnąć na wiele sposobów, potrzeba więc elastyczności w zarządzaniu wyborami i praktykami. Z tego względu nie należy wywarzać otwartych drzwi, a raczej rozwijać i chronić to, co od zawsze rozumiemy przez „gospodarowanie lasami w sposób zrównoważony”. Jeśli strategia leśna wyrośnie z tego podłoża to będzie w stanie zapewnić spójność z coraz większą liczbą obszarów polityki związanych z lasami - a przecież tego właśnie potrzebujemy.</w:t>
      </w:r>
    </w:p>
    <w:p w:rsidR="002C6972" w:rsidRPr="002C6972" w:rsidRDefault="002C6972" w:rsidP="002C6972">
      <w:pPr>
        <w:spacing w:after="160" w:line="259" w:lineRule="auto"/>
        <w:ind w:left="284"/>
        <w:contextualSpacing/>
        <w:rPr>
          <w:rFonts w:eastAsia="Calibri"/>
          <w:kern w:val="0"/>
          <w:szCs w:val="21"/>
        </w:rPr>
      </w:pPr>
      <w:r>
        <w:t xml:space="preserve">Unijne lasy są tak różnorodne jak ich właściciele i decyzje ich zarządców. Definicja zrównoważonej gospodarki leśnej, kryteria i wskaźniki, które zostały uzgodnione i zatwierdzone przez ponad 40 krajów (w tym wszystkie państwa członkowskie UE) w całej Europie, stanowią podstawę unijnych praktyk gospodarki leśnej. Są one regularnie oceniane i poprawiane w ramach ciągłego procesu, by na pewno były dostosowane do aktualnych i przyszłych wyzwań oraz możliwości. Oznacza to, że nie należy tworzyć nowego podejścia od podstaw. </w:t>
      </w:r>
    </w:p>
    <w:p w:rsidR="002C6972" w:rsidRPr="002C6972" w:rsidRDefault="002C6972" w:rsidP="002C6972">
      <w:pPr>
        <w:spacing w:after="160" w:line="259" w:lineRule="auto"/>
        <w:ind w:left="284"/>
        <w:contextualSpacing/>
        <w:rPr>
          <w:rFonts w:eastAsia="Calibri"/>
          <w:kern w:val="0"/>
          <w:szCs w:val="21"/>
        </w:rPr>
      </w:pPr>
      <w:r>
        <w:t xml:space="preserve">Decyzje podejmowane przez zarządzających lasami nie są ani łatwe ani oczywiste, wbrew temu w co wierzą niektórzy uczestnicy debaty toczącej się w UE. Ponadto w przeciwieństwie do tego, co się mówi i pisze, praktyki gospodarki leśnej zdecydowanie obejmują również ochronę różnorodności biologicznej. Jeśli właściciele lasów nie dbaliby o różnorodność biologiczną to podcięliby w ten sposób gałąź, na której siedzą! Przecież ich nadrzędnym celem jest utrzymanie zdrowych i odpornych lasów dla przyszłych pokoleń. </w:t>
      </w:r>
    </w:p>
    <w:p w:rsidR="002C6972" w:rsidRPr="002C6972" w:rsidRDefault="002C6972" w:rsidP="002C6972">
      <w:pPr>
        <w:spacing w:after="160" w:line="259" w:lineRule="auto"/>
        <w:ind w:left="284"/>
        <w:contextualSpacing/>
        <w:rPr>
          <w:rFonts w:eastAsia="Calibri"/>
          <w:kern w:val="0"/>
          <w:szCs w:val="21"/>
        </w:rPr>
      </w:pPr>
      <w:r>
        <w:t>W aktualnej debacie na temat oczekiwań co od naszych lasów na kolejne dziesięciolecia, często kwestionuje się koncepcję zrównoważonej gospodarki leśnej i jej realizację. W ten sposób UE usiłuje zmienić to podejście w swojej polityce, mimo że ten sposób gospodarowania zapewnia równowagę między wszystkimi aspektami zrównoważoności.</w:t>
      </w:r>
    </w:p>
    <w:p w:rsidR="002C6972" w:rsidRPr="006A6770" w:rsidRDefault="002C6972" w:rsidP="00035317">
      <w:pPr>
        <w:spacing w:after="120" w:line="240" w:lineRule="auto"/>
        <w:ind w:left="284"/>
        <w:rPr>
          <w:rFonts w:eastAsia="Calibri"/>
          <w:kern w:val="0"/>
          <w:sz w:val="22"/>
          <w:szCs w:val="22"/>
        </w:rPr>
      </w:pPr>
      <w:r>
        <w:t>Gospodarka leśna potrzebuje wsparcia w momencie</w:t>
      </w:r>
      <w:r w:rsidR="00D61813">
        <w:t>,</w:t>
      </w:r>
      <w:r>
        <w:t xml:space="preserve"> gdy lasy coraz częściej borykają się ze skutkami zmian klimatu, by mogła ciągle się rozwijać i ewoluować, tak jak ma to miejsce od dziesięcioleci. Strategia leśna UE powinna zawierać między innymi konkretne środki uzupełniające środki horyzontalne, które zapowiedziano w nowej strategii UE w zakresie przystosowania się do zmiany klimatu.</w:t>
      </w:r>
      <w:r>
        <w:rPr>
          <w:sz w:val="22"/>
          <w:szCs w:val="22"/>
        </w:rPr>
        <w:t xml:space="preserve"> </w:t>
      </w:r>
    </w:p>
    <w:p w:rsidR="002C6972" w:rsidRPr="00035317" w:rsidRDefault="002C6972" w:rsidP="002C6972">
      <w:pPr>
        <w:spacing w:after="160" w:line="259" w:lineRule="auto"/>
        <w:ind w:left="284"/>
        <w:contextualSpacing/>
        <w:rPr>
          <w:b/>
        </w:rPr>
      </w:pPr>
      <w:r>
        <w:rPr>
          <w:b/>
          <w:bCs/>
          <w:szCs w:val="21"/>
        </w:rPr>
        <w:t xml:space="preserve">Musimy zaufać dynamicznej i zmieniającej się gospodarce leśnej, która jest prowadzona w UE od dekad, a także ją wspierać. Zachowanie aktualnych definicji i zasad obowiązujących w zrównoważonej gospodarce leśnej nie oznacza, że musimy stanąć w miejscu i zamknąć oczy na obecne wyzwania. Wręcz przeciwnie, dzięki temu właściciele lasów nadal będą się dostosowywać, </w:t>
      </w:r>
      <w:r>
        <w:rPr>
          <w:b/>
          <w:bCs/>
          <w:szCs w:val="21"/>
        </w:rPr>
        <w:lastRenderedPageBreak/>
        <w:t>uczyć i wprowadzać innowacyjne rozwiązania współdziałając z przyrodą, by utrzymać lasy w UE i s</w:t>
      </w:r>
      <w:r w:rsidR="005C7BCE">
        <w:rPr>
          <w:b/>
          <w:bCs/>
          <w:szCs w:val="21"/>
        </w:rPr>
        <w:t>prostać</w:t>
      </w:r>
      <w:r>
        <w:rPr>
          <w:b/>
          <w:bCs/>
          <w:szCs w:val="21"/>
        </w:rPr>
        <w:t xml:space="preserve"> oczekiwani</w:t>
      </w:r>
      <w:r w:rsidR="005C7BCE">
        <w:rPr>
          <w:b/>
          <w:bCs/>
          <w:szCs w:val="21"/>
        </w:rPr>
        <w:t>om</w:t>
      </w:r>
      <w:r>
        <w:rPr>
          <w:b/>
          <w:bCs/>
          <w:szCs w:val="21"/>
        </w:rPr>
        <w:t xml:space="preserve"> społeczeństwa. </w:t>
      </w:r>
    </w:p>
    <w:p w:rsidR="006A6770" w:rsidRPr="002C6972" w:rsidRDefault="006A6770" w:rsidP="002C6972">
      <w:pPr>
        <w:spacing w:after="160" w:line="259" w:lineRule="auto"/>
        <w:rPr>
          <w:rFonts w:eastAsia="Calibri"/>
          <w:kern w:val="0"/>
          <w:sz w:val="22"/>
          <w:szCs w:val="22"/>
          <w:lang w:eastAsia="en-US"/>
        </w:rPr>
      </w:pPr>
    </w:p>
    <w:p w:rsidR="002C6972" w:rsidRPr="002C6972" w:rsidRDefault="002C6972" w:rsidP="002C6972">
      <w:pPr>
        <w:spacing w:after="120" w:line="240" w:lineRule="auto"/>
        <w:ind w:left="284" w:hanging="284"/>
        <w:rPr>
          <w:rFonts w:eastAsia="Calibri"/>
          <w:b/>
          <w:bCs/>
          <w:kern w:val="0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bCs/>
          <w:sz w:val="24"/>
        </w:rPr>
        <w:t>Nic za darmo, czyli lasy nie będą zdrowe same z siebie - wymaga to inwestycji</w:t>
      </w:r>
    </w:p>
    <w:p w:rsidR="002C6972" w:rsidRPr="002C6972" w:rsidRDefault="002C6972" w:rsidP="002C6972">
      <w:pPr>
        <w:spacing w:line="240" w:lineRule="auto"/>
        <w:ind w:left="284"/>
        <w:rPr>
          <w:rFonts w:eastAsia="Calibri"/>
          <w:kern w:val="0"/>
          <w:szCs w:val="21"/>
        </w:rPr>
      </w:pPr>
      <w:r>
        <w:t xml:space="preserve">Nowa strategia leśna UE powinna uznać dotychczasowe osiągnięcia i rozważyć możliwości właścicieli lasów oraz ich motywację. Uznaniu temu powinny jednak towarzyszyć działania i środki wspierające unijnych właścicieli lasów w zarządzaniu nimi. Gospodarka leśna nie jest czymś samoistnym. Wymaga ona znacznych inwestycji i wiąże się z ryzykiem zanim zacznie przynosić jakiekolwiek zyski, które często są skromne w porównaniu do włożonej pracy. </w:t>
      </w:r>
    </w:p>
    <w:p w:rsidR="00617974" w:rsidRPr="00A060F6" w:rsidRDefault="002C6972" w:rsidP="00035317">
      <w:pPr>
        <w:spacing w:after="120" w:line="240" w:lineRule="auto"/>
        <w:ind w:left="284"/>
        <w:rPr>
          <w:color w:val="000000"/>
          <w:kern w:val="0"/>
          <w:szCs w:val="21"/>
        </w:rPr>
      </w:pPr>
      <w:r>
        <w:t xml:space="preserve">Gdy mówimy o lasach i korzyściach, jakie przynoszą musimy pamiętać o jednym </w:t>
      </w:r>
      <w:r>
        <w:rPr>
          <w:color w:val="3C4043"/>
          <w:szCs w:val="21"/>
          <w:shd w:val="clear" w:color="auto" w:fill="FFFFFF"/>
        </w:rPr>
        <w:t>-</w:t>
      </w:r>
      <w:r>
        <w:t xml:space="preserve"> lasy nie zarządzają same sobą. Za pełnymi życia lasami zawsze stoją ludzie. Właściciele lasów są ich opiekunami. Bardzo ważne jest, by decydenci polityczni uznali ich ważną rolę i starali się utrzymać ich motywację, gdyż to oni ponoszą odpowiedzialność za wszystkie konsekwencje podejmowanych przez nich decyzji.</w:t>
      </w:r>
      <w:bookmarkStart w:id="1" w:name="_Hlk33209513"/>
      <w:r>
        <w:rPr>
          <w:color w:val="000000"/>
          <w:szCs w:val="21"/>
        </w:rPr>
        <w:t xml:space="preserve"> W niektórych regionach Europy właściciele lasów z wielu względów zaczynają wycofywać się z aktywnej działalności, co może doprowadzić do porzucania obszarów wiejskich i lasów (a co za tym idzie do pogorszenia się ich stanu a nawet ich zaniku!), a przecież doskonale wiemy z czym to się wiąże. </w:t>
      </w:r>
      <w:r>
        <w:t xml:space="preserve"> Dlatego też należy rozważyć poprawę zdolności małych gospodarstw do zarządzania swoimi lasami. </w:t>
      </w:r>
      <w:bookmarkEnd w:id="1"/>
    </w:p>
    <w:p w:rsidR="00216384" w:rsidRPr="002C6972" w:rsidRDefault="00216384" w:rsidP="00035317">
      <w:pPr>
        <w:spacing w:after="120" w:line="240" w:lineRule="auto"/>
        <w:ind w:left="284"/>
        <w:jc w:val="both"/>
        <w:rPr>
          <w:rFonts w:eastAsia="Calibri"/>
          <w:kern w:val="0"/>
          <w:szCs w:val="21"/>
        </w:rPr>
      </w:pPr>
      <w:r>
        <w:t>Do najważniejszych usług ekosystemowych generujących dochody dla właścicieli i zarządców lasów należą dostawy drewna. Żadne z innych</w:t>
      </w:r>
      <w:r w:rsidR="002C0A59">
        <w:t xml:space="preserve"> korzyści</w:t>
      </w:r>
      <w:r>
        <w:t xml:space="preserve">, które przynosi społeczeństwu zrównoważona gospodarka leśna nie są płatne. </w:t>
      </w:r>
    </w:p>
    <w:p w:rsidR="00370B3E" w:rsidRPr="00035317" w:rsidRDefault="002C6972" w:rsidP="00035317">
      <w:pPr>
        <w:spacing w:after="120" w:line="240" w:lineRule="auto"/>
        <w:ind w:left="284"/>
      </w:pPr>
      <w:r>
        <w:t>Właściciele lasów potrzebują zachęt i motywacji do dalszych inwestycji. Nowa strategia leśna UE powinna zebrać konkretne propozycje umożliwiające szybki</w:t>
      </w:r>
      <w:r w:rsidR="009B1999">
        <w:t>e postępy i stworzyć zachęty do</w:t>
      </w:r>
      <w:r>
        <w:t xml:space="preserve"> świadczenia usług ekosystemowych obejmujących również ochronę klimatu. Bez wsparcia i narzędzi zarządzania ryzykiem właściciele lasów będą mniej skłonni do inwestowania i podejmowania wzmożonego ryzyka związanego z naturalnymi zakłóceniami. Nowa strategia leśna UE powinna też promować praktyczne usługi doradcze i wymianę wiedzy.</w:t>
      </w:r>
    </w:p>
    <w:p w:rsidR="005B07F7" w:rsidRPr="00035317" w:rsidRDefault="002C6972" w:rsidP="00370B3E">
      <w:pPr>
        <w:spacing w:after="160" w:line="259" w:lineRule="auto"/>
        <w:ind w:left="284"/>
        <w:rPr>
          <w:b/>
        </w:rPr>
      </w:pPr>
      <w:r>
        <w:rPr>
          <w:b/>
          <w:bCs/>
          <w:szCs w:val="21"/>
        </w:rPr>
        <w:t xml:space="preserve">Musimy zaufać tym, którzy wykorzystują swoje wartościowe, wieloletnie doświadczenie w trosce o nasze lasy i ich wspierać. Ich praca, wysiłki i zobowiązania muszą znaleźć uznanie w istniejących i w nowych innowacyjnych środkach finansowych, a także usługach doradczych dostosowanych do ich potrzeb. W ten sposób strategia leśna UE da wyraźny sygnał, który jednocześnie stanie się zachętą, dzięki czemu lasy nadal będą objęte aktywną gospodarką, co z kolej przyczyni się do osiągnięcia celów Europejskiego Zielonego Ładu. </w:t>
      </w:r>
    </w:p>
    <w:p w:rsidR="002C6972" w:rsidRPr="002C6972" w:rsidRDefault="002C6972" w:rsidP="002C6972">
      <w:pPr>
        <w:spacing w:line="240" w:lineRule="auto"/>
        <w:ind w:left="284"/>
        <w:rPr>
          <w:rFonts w:eastAsia="Calibri"/>
          <w:b/>
          <w:bCs/>
          <w:kern w:val="0"/>
          <w:sz w:val="22"/>
          <w:szCs w:val="22"/>
          <w:lang w:eastAsia="en-US"/>
        </w:rPr>
      </w:pPr>
    </w:p>
    <w:p w:rsidR="002C6972" w:rsidRPr="002C6972" w:rsidRDefault="002C6972" w:rsidP="002C6972">
      <w:pPr>
        <w:spacing w:after="120" w:line="240" w:lineRule="auto"/>
        <w:ind w:left="284" w:hanging="284"/>
        <w:rPr>
          <w:rFonts w:eastAsia="Calibri"/>
          <w:kern w:val="0"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bCs/>
          <w:sz w:val="24"/>
        </w:rPr>
        <w:t>Więcej drewna w budownictwie - oczywiście, ale gdzie jeszcze? I skąd?</w:t>
      </w:r>
    </w:p>
    <w:p w:rsidR="002C6972" w:rsidRPr="002C6972" w:rsidRDefault="002C6972" w:rsidP="002C6972">
      <w:pPr>
        <w:spacing w:after="160" w:line="259" w:lineRule="auto"/>
        <w:ind w:left="284"/>
        <w:contextualSpacing/>
        <w:rPr>
          <w:rFonts w:eastAsia="Calibri"/>
          <w:kern w:val="0"/>
          <w:szCs w:val="21"/>
        </w:rPr>
      </w:pPr>
      <w:r>
        <w:t xml:space="preserve">UE chcę osiągnąć neutralność pod względem emisji do 2050 roku. Unijny sektor lasów jest ważną częścią tej układanki, gdyż przyczynia się do łagodzenia skutków zmian klimatu na trzy sposoby - poprzez sekwestrację dwutlenku węgla, magazynowanie dwutlenku węgla w drzewach i produktach drewnianych oraz zastępowanie materiałów i energii ze źródeł kopalnych poprzez udostępnianie surowców odnawialnych. Rozwój biogospodarki tworzy rynki zbytu dla zasobów powstających w ramach zrównoważonych praktyk gospodarki, zwłaszcza w odniesieniu do pierwszej i trzeciej korzyści wymienionych powyżej. Praktyki te zapobiegają porzucaniu lasów i pastwisk, a także minimalizują zagrożenia związane z nadwyżką biomasy, jak pożary lasów czy ataki szkodników. Warto okiełznać ten potencjał. </w:t>
      </w:r>
    </w:p>
    <w:p w:rsidR="009A2040" w:rsidRPr="00035317" w:rsidRDefault="002C6972" w:rsidP="00035317">
      <w:pPr>
        <w:spacing w:after="120" w:line="240" w:lineRule="auto"/>
        <w:ind w:left="284"/>
      </w:pPr>
      <w:r>
        <w:t>W komunikacie pt. „Fala renowacji na potrzeby Europy – ekologizacja budynków, tworzenie miejsc pracy, poprawa jakości życia”</w:t>
      </w:r>
      <w:r w:rsidR="00834D50">
        <w:rPr>
          <w:rStyle w:val="Odwoanieprzypisudolnego"/>
        </w:rPr>
        <w:footnoteReference w:id="5"/>
      </w:r>
      <w:r>
        <w:t xml:space="preserve"> Komisja zdecydowanie wspiera wykorzystanie drewna </w:t>
      </w:r>
      <w:r>
        <w:lastRenderedPageBreak/>
        <w:t xml:space="preserve">w budownictwie. </w:t>
      </w:r>
      <w:r>
        <w:rPr>
          <w:i/>
          <w:iCs/>
          <w:szCs w:val="21"/>
        </w:rPr>
        <w:t xml:space="preserve">„Materiały naturalne, takie jak drewno, odegrają kluczową rolę w </w:t>
      </w:r>
      <w:proofErr w:type="spellStart"/>
      <w:r>
        <w:rPr>
          <w:i/>
          <w:iCs/>
          <w:szCs w:val="21"/>
        </w:rPr>
        <w:t>dizajnie</w:t>
      </w:r>
      <w:proofErr w:type="spellEnd"/>
      <w:r>
        <w:rPr>
          <w:i/>
          <w:iCs/>
          <w:szCs w:val="21"/>
        </w:rPr>
        <w:t xml:space="preserve"> nowego europejskiego </w:t>
      </w:r>
      <w:proofErr w:type="spellStart"/>
      <w:r>
        <w:rPr>
          <w:i/>
          <w:iCs/>
          <w:szCs w:val="21"/>
        </w:rPr>
        <w:t>Bauhausu</w:t>
      </w:r>
      <w:proofErr w:type="spellEnd"/>
      <w:r>
        <w:rPr>
          <w:i/>
          <w:iCs/>
          <w:szCs w:val="21"/>
        </w:rPr>
        <w:t>, ponieważ mogą przynieść podwójne korzyści: magazynowanie emisji dwutlenku węgla w budynkach oraz unikanie emisji, które byłyby konieczne w przypadku produkcji konwencjonalnych materiałów budowlanych”.</w:t>
      </w:r>
      <w:r>
        <w:t xml:space="preserve"> Jest to ważny sygnał dla unijnego sektora leśnego, związany z rozwojem gospodarki opartej na surowcach pochodzenia biologicznego. Wsparcie dla wykorzystania drewna jako materiału odnawialnego nie może ograniczać się jednak jedynie do budownictwa. </w:t>
      </w:r>
    </w:p>
    <w:p w:rsidR="002C6972" w:rsidRPr="002C6972" w:rsidRDefault="002C6972" w:rsidP="002C6972">
      <w:pPr>
        <w:spacing w:after="160" w:line="259" w:lineRule="auto"/>
        <w:ind w:left="284"/>
        <w:contextualSpacing/>
        <w:rPr>
          <w:rFonts w:eastAsia="Calibri"/>
          <w:kern w:val="0"/>
          <w:szCs w:val="21"/>
        </w:rPr>
      </w:pPr>
      <w:r>
        <w:t xml:space="preserve">Wysokiej jakości surowiec drzewny można zebrać, jeśli drzewostan osiągnął odpowiednią dojrzałość, a jego ilość wzrosła na ostatnim etapie cyklu gospodarki leśnej. Wcześniej jednak trzeba przeprowadzić wiele innych działań, w wyniku których powstają inne rodzaje drewna do innych zastosowań. Dlatego też wsparcie dla wykorzystania drewna w budownictwie oznacza wsparcie dla aktywnej gospodarki leśnej oraz dla produkcji i zużycia innych produktów drzewnych, takich jak papier, opakowania, panele, czy energia, które są niezbędne do osiągnięcia celu neutralności pod względem emisji w UE. Jeśli politycy będą chcieli wykorzystywać zasoby wytwarzane lokalnie do renowacji UE, a nie polegać na imporcie drewna, i jeśli chcemy promować wykorzystanie drewna w budownictwie, to aktywna, zrównoważona gospodarka leśna jest niezbędna. </w:t>
      </w:r>
    </w:p>
    <w:p w:rsidR="002C6972" w:rsidRPr="002C6972" w:rsidRDefault="002C6972" w:rsidP="002C6972">
      <w:pPr>
        <w:spacing w:after="120" w:line="240" w:lineRule="auto"/>
        <w:ind w:left="284"/>
        <w:rPr>
          <w:rFonts w:eastAsia="Calibri"/>
          <w:kern w:val="0"/>
          <w:sz w:val="22"/>
          <w:szCs w:val="22"/>
        </w:rPr>
      </w:pPr>
      <w:r>
        <w:t>Przesłanie polityczne dotyczące pochodzenia surowców drewnianych na ten cel i innych zastosowań drewna nadal jest jednak niejasne. Faktycznie, w przyszłości może dojść do nałożenia dodatkowych ograniczeń na lasy, w imię ochrony różnorodności biologicznej. Co więcej, pojawiają się głosy przemawiające za większym wykorzystaniem drewna w budownictwie lecz ograniczeniem innych jego zastosowań (opakowania, papier itd.). Takie postulaty ignorują realne cykle gospodarki leśnej, gdyż każde z działań prowadzi do powstania innych produktów.</w:t>
      </w:r>
      <w:r>
        <w:rPr>
          <w:sz w:val="22"/>
          <w:szCs w:val="22"/>
        </w:rPr>
        <w:t xml:space="preserve"> </w:t>
      </w:r>
    </w:p>
    <w:p w:rsidR="002C6972" w:rsidRPr="00035317" w:rsidRDefault="002C6972" w:rsidP="002C6972">
      <w:pPr>
        <w:spacing w:after="160" w:line="259" w:lineRule="auto"/>
        <w:ind w:left="284"/>
        <w:rPr>
          <w:b/>
        </w:rPr>
      </w:pPr>
      <w:r>
        <w:rPr>
          <w:b/>
          <w:bCs/>
          <w:szCs w:val="21"/>
        </w:rPr>
        <w:t>Musimy udzielić wsparcia i położyć zaufanie w idei, że zastąpienie materiałów i energii ze źródeł kopalnych drewnem jest jednym z najskuteczniejszych rozwiązań dla łagodzenia skutków zmian klimatu i osiągnięcia celu neutralności klimatycznej w UE. Wspierając aktywną gospodarkę leśną w UE, nowa strategia leśna w większym stopniu uświadomiłaby sektorowi leśnemu i społeczeństwu ogółem, że wykorzystanie materiałów drewnopochodnych wpływa pozytywnie na rentowność gospodarki lokalnej i obszarów wiejskich UE.</w:t>
      </w:r>
    </w:p>
    <w:p w:rsidR="00A060F6" w:rsidRDefault="00A060F6" w:rsidP="00A060F6">
      <w:pPr>
        <w:spacing w:after="160" w:line="259" w:lineRule="auto"/>
        <w:ind w:left="284"/>
        <w:jc w:val="center"/>
        <w:rPr>
          <w:b/>
          <w:bCs/>
          <w:szCs w:val="21"/>
        </w:rPr>
      </w:pPr>
      <w:r>
        <w:rPr>
          <w:b/>
          <w:bCs/>
          <w:szCs w:val="21"/>
        </w:rPr>
        <w:t>_______</w:t>
      </w:r>
    </w:p>
    <w:p w:rsidR="006E7E45" w:rsidRDefault="006E7E45" w:rsidP="002C6972">
      <w:pPr>
        <w:spacing w:after="160" w:line="259" w:lineRule="auto"/>
        <w:ind w:left="284"/>
        <w:rPr>
          <w:b/>
          <w:bCs/>
          <w:szCs w:val="21"/>
        </w:rPr>
      </w:pPr>
    </w:p>
    <w:p w:rsidR="00D3095C" w:rsidRPr="00972CFB" w:rsidRDefault="00D3095C" w:rsidP="007919F9">
      <w:pPr>
        <w:tabs>
          <w:tab w:val="left" w:pos="5895"/>
        </w:tabs>
        <w:spacing w:after="200"/>
        <w:rPr>
          <w:szCs w:val="21"/>
        </w:rPr>
      </w:pPr>
    </w:p>
    <w:sectPr w:rsidR="00D3095C" w:rsidRPr="00972CFB" w:rsidSect="00FE70E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E8A" w:rsidRDefault="00771E8A">
      <w:r>
        <w:separator/>
      </w:r>
    </w:p>
  </w:endnote>
  <w:endnote w:type="continuationSeparator" w:id="0">
    <w:p w:rsidR="00771E8A" w:rsidRDefault="00771E8A">
      <w:r>
        <w:continuationSeparator/>
      </w:r>
    </w:p>
  </w:endnote>
  <w:endnote w:type="continuationNotice" w:id="1">
    <w:p w:rsidR="00771E8A" w:rsidRDefault="00771E8A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206" w:rsidRDefault="00693653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D96324">
      <w:rPr>
        <w:noProof/>
      </w:rPr>
      <w:t>5</w:t>
    </w:r>
    <w: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D96324">
        <w:rPr>
          <w:noProof/>
        </w:rPr>
        <w:t>5</w:t>
      </w:r>
    </w:fldSimple>
  </w:p>
  <w:p w:rsidR="00975206" w:rsidRDefault="0097520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67D" w:rsidRDefault="00A476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E8A" w:rsidRDefault="00771E8A">
      <w:r>
        <w:separator/>
      </w:r>
    </w:p>
  </w:footnote>
  <w:footnote w:type="continuationSeparator" w:id="0">
    <w:p w:rsidR="00771E8A" w:rsidRDefault="00771E8A">
      <w:r>
        <w:continuationSeparator/>
      </w:r>
    </w:p>
  </w:footnote>
  <w:footnote w:type="continuationNotice" w:id="1">
    <w:p w:rsidR="00771E8A" w:rsidRDefault="00771E8A">
      <w:pPr>
        <w:spacing w:line="240" w:lineRule="auto"/>
      </w:pPr>
    </w:p>
  </w:footnote>
  <w:footnote w:id="2">
    <w:p w:rsidR="00591385" w:rsidRPr="00591385" w:rsidRDefault="005913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>
          <w:rPr>
            <w:rStyle w:val="Hipercze"/>
          </w:rPr>
          <w:t>https://foresteurope.org/wp-content/uploads/2016/08/SoEF_2020.pdf</w:t>
        </w:r>
      </w:hyperlink>
      <w:r>
        <w:t xml:space="preserve"> </w:t>
      </w:r>
    </w:p>
  </w:footnote>
  <w:footnote w:id="3">
    <w:p w:rsidR="00591385" w:rsidRPr="00A060F6" w:rsidRDefault="005913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>
          <w:rPr>
            <w:rStyle w:val="Hipercze"/>
          </w:rPr>
          <w:t>https://www.europarl.europa.eu/doceo/document/TA-9-2020-0257_EN.html</w:t>
        </w:r>
      </w:hyperlink>
      <w:r>
        <w:t xml:space="preserve"> </w:t>
      </w:r>
    </w:p>
  </w:footnote>
  <w:footnote w:id="4">
    <w:p w:rsidR="00591385" w:rsidRPr="00591385" w:rsidRDefault="005913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>
          <w:rPr>
            <w:rStyle w:val="Hipercze"/>
          </w:rPr>
          <w:t>https://data.consilium.europa.eu/doc/document/ST-12695-2020-REV-1/en/pdf</w:t>
        </w:r>
      </w:hyperlink>
      <w:r>
        <w:t xml:space="preserve"> </w:t>
      </w:r>
    </w:p>
  </w:footnote>
  <w:footnote w:id="5">
    <w:p w:rsidR="00834D50" w:rsidRPr="00BA365B" w:rsidRDefault="00834D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4" w:history="1">
        <w:r>
          <w:rPr>
            <w:rStyle w:val="Hipercze"/>
          </w:rPr>
          <w:t>https://eur-lex.europa.eu/legal-content/EN/TXT/?qid=1603122220757&amp;uri=CELEX:52020DC0662</w:t>
        </w:r>
      </w:hyperlink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01" w:rsidRDefault="00693653">
    <w:pPr>
      <w:pStyle w:val="Nagwek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796345" o:spid="_x0000_s2049" type="#_x0000_t136" style="position:absolute;margin-left:0;margin-top:0;width:519.3pt;height:111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 - WEWNĘTRZN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15" w:type="dxa"/>
      <w:tblLayout w:type="fixed"/>
      <w:tblCellMar>
        <w:left w:w="0" w:type="dxa"/>
        <w:right w:w="0" w:type="dxa"/>
      </w:tblCellMar>
      <w:tblLook w:val="01E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Nagwek"/>
          </w:pPr>
        </w:p>
      </w:tc>
      <w:tc>
        <w:tcPr>
          <w:tcW w:w="3775" w:type="dxa"/>
          <w:shd w:val="clear" w:color="auto" w:fill="auto"/>
        </w:tcPr>
        <w:p w:rsidR="00975206" w:rsidRPr="00AB75D0" w:rsidRDefault="00975206" w:rsidP="005E42BC">
          <w:pPr>
            <w:pStyle w:val="Nagwek"/>
          </w:pPr>
        </w:p>
      </w:tc>
    </w:tr>
  </w:tbl>
  <w:p w:rsidR="00975206" w:rsidRDefault="00693653">
    <w:pPr>
      <w:pStyle w:val="Nagwek"/>
    </w:pPr>
    <w:r>
      <w:pict>
        <v:line id="Line 2" o:spid="_x0000_s2051" style="position:absolute;z-index:251657728;visibility:visible;mso-position-horizontal-relative:page;mso-position-vertical-relative:page" from="14.2pt,420.9pt" to="28.35pt,4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" strokecolor="#6b7213" strokeweight=".15pt">
          <w10:wrap anchorx="page" anchory="page"/>
          <w10:anchorlock/>
        </v:line>
      </w:pict>
    </w:r>
    <w:r>
      <w:pict>
        <v:line id="Line 1" o:spid="_x0000_s2050" style="position:absolute;z-index:251656704;visibility:visible;mso-position-horizontal-relative:page;mso-position-vertical-relative:page" from="14.2pt,297.6pt" to="28.3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57B5"/>
    <w:multiLevelType w:val="hybridMultilevel"/>
    <w:tmpl w:val="FE0A62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91438"/>
    <w:multiLevelType w:val="hybridMultilevel"/>
    <w:tmpl w:val="C06686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1C89"/>
    <w:multiLevelType w:val="hybridMultilevel"/>
    <w:tmpl w:val="06089A18"/>
    <w:lvl w:ilvl="0" w:tplc="200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7FF4"/>
    <w:multiLevelType w:val="hybridMultilevel"/>
    <w:tmpl w:val="0BA067FE"/>
    <w:lvl w:ilvl="0" w:tplc="143C9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E62F32"/>
    <w:multiLevelType w:val="hybridMultilevel"/>
    <w:tmpl w:val="5C5A8034"/>
    <w:lvl w:ilvl="0" w:tplc="DB76D99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267A5"/>
    <w:multiLevelType w:val="hybridMultilevel"/>
    <w:tmpl w:val="D92AB560"/>
    <w:lvl w:ilvl="0" w:tplc="EEBA18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76C71B3"/>
    <w:multiLevelType w:val="hybridMultilevel"/>
    <w:tmpl w:val="93CEAF90"/>
    <w:lvl w:ilvl="0" w:tplc="741CD720">
      <w:start w:val="1"/>
      <w:numFmt w:val="decimal"/>
      <w:lvlText w:val="%1."/>
      <w:lvlJc w:val="left"/>
      <w:pPr>
        <w:ind w:left="2784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3504" w:hanging="360"/>
      </w:pPr>
    </w:lvl>
    <w:lvl w:ilvl="2" w:tplc="2000001B" w:tentative="1">
      <w:start w:val="1"/>
      <w:numFmt w:val="lowerRoman"/>
      <w:lvlText w:val="%3."/>
      <w:lvlJc w:val="right"/>
      <w:pPr>
        <w:ind w:left="4224" w:hanging="180"/>
      </w:pPr>
    </w:lvl>
    <w:lvl w:ilvl="3" w:tplc="2000000F" w:tentative="1">
      <w:start w:val="1"/>
      <w:numFmt w:val="decimal"/>
      <w:lvlText w:val="%4."/>
      <w:lvlJc w:val="left"/>
      <w:pPr>
        <w:ind w:left="4944" w:hanging="360"/>
      </w:pPr>
    </w:lvl>
    <w:lvl w:ilvl="4" w:tplc="20000019" w:tentative="1">
      <w:start w:val="1"/>
      <w:numFmt w:val="lowerLetter"/>
      <w:lvlText w:val="%5."/>
      <w:lvlJc w:val="left"/>
      <w:pPr>
        <w:ind w:left="5664" w:hanging="360"/>
      </w:pPr>
    </w:lvl>
    <w:lvl w:ilvl="5" w:tplc="2000001B" w:tentative="1">
      <w:start w:val="1"/>
      <w:numFmt w:val="lowerRoman"/>
      <w:lvlText w:val="%6."/>
      <w:lvlJc w:val="right"/>
      <w:pPr>
        <w:ind w:left="6384" w:hanging="180"/>
      </w:pPr>
    </w:lvl>
    <w:lvl w:ilvl="6" w:tplc="2000000F" w:tentative="1">
      <w:start w:val="1"/>
      <w:numFmt w:val="decimal"/>
      <w:lvlText w:val="%7."/>
      <w:lvlJc w:val="left"/>
      <w:pPr>
        <w:ind w:left="7104" w:hanging="360"/>
      </w:pPr>
    </w:lvl>
    <w:lvl w:ilvl="7" w:tplc="20000019" w:tentative="1">
      <w:start w:val="1"/>
      <w:numFmt w:val="lowerLetter"/>
      <w:lvlText w:val="%8."/>
      <w:lvlJc w:val="left"/>
      <w:pPr>
        <w:ind w:left="7824" w:hanging="360"/>
      </w:pPr>
    </w:lvl>
    <w:lvl w:ilvl="8" w:tplc="2000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7">
    <w:nsid w:val="75465665"/>
    <w:multiLevelType w:val="hybridMultilevel"/>
    <w:tmpl w:val="8ADC7FDC"/>
    <w:lvl w:ilvl="0" w:tplc="43962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6F90866"/>
    <w:multiLevelType w:val="hybridMultilevel"/>
    <w:tmpl w:val="37865CA2"/>
    <w:lvl w:ilvl="0" w:tplc="302A2CBA">
      <w:start w:val="1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680AFD"/>
    <w:multiLevelType w:val="hybridMultilevel"/>
    <w:tmpl w:val="9182C1C8"/>
    <w:lvl w:ilvl="0" w:tplc="2000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7E345F21"/>
    <w:multiLevelType w:val="hybridMultilevel"/>
    <w:tmpl w:val="CCCE8F34"/>
    <w:lvl w:ilvl="0" w:tplc="35267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08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26DAF"/>
    <w:rsid w:val="0000381C"/>
    <w:rsid w:val="00013FEF"/>
    <w:rsid w:val="000255C1"/>
    <w:rsid w:val="00034C8F"/>
    <w:rsid w:val="00035317"/>
    <w:rsid w:val="00035766"/>
    <w:rsid w:val="00053327"/>
    <w:rsid w:val="000756CD"/>
    <w:rsid w:val="00083D75"/>
    <w:rsid w:val="00096DD2"/>
    <w:rsid w:val="000978FD"/>
    <w:rsid w:val="000A432D"/>
    <w:rsid w:val="000B24A7"/>
    <w:rsid w:val="000B6E3F"/>
    <w:rsid w:val="000C176C"/>
    <w:rsid w:val="000C75E0"/>
    <w:rsid w:val="000E0809"/>
    <w:rsid w:val="00101C5F"/>
    <w:rsid w:val="00137417"/>
    <w:rsid w:val="00146E07"/>
    <w:rsid w:val="00160602"/>
    <w:rsid w:val="001808C6"/>
    <w:rsid w:val="00181E26"/>
    <w:rsid w:val="00185365"/>
    <w:rsid w:val="001A566C"/>
    <w:rsid w:val="001C4C21"/>
    <w:rsid w:val="001D0BF3"/>
    <w:rsid w:val="001D2686"/>
    <w:rsid w:val="0020404E"/>
    <w:rsid w:val="00216384"/>
    <w:rsid w:val="00277D92"/>
    <w:rsid w:val="00287B12"/>
    <w:rsid w:val="002C0A59"/>
    <w:rsid w:val="002C126F"/>
    <w:rsid w:val="002C62C0"/>
    <w:rsid w:val="002C6972"/>
    <w:rsid w:val="002F6839"/>
    <w:rsid w:val="00301027"/>
    <w:rsid w:val="00316058"/>
    <w:rsid w:val="00353801"/>
    <w:rsid w:val="00370B3E"/>
    <w:rsid w:val="003750ED"/>
    <w:rsid w:val="003805F2"/>
    <w:rsid w:val="003B0772"/>
    <w:rsid w:val="003D3391"/>
    <w:rsid w:val="003D6C0D"/>
    <w:rsid w:val="003E092C"/>
    <w:rsid w:val="003F2BFC"/>
    <w:rsid w:val="00416273"/>
    <w:rsid w:val="004407CB"/>
    <w:rsid w:val="00444E91"/>
    <w:rsid w:val="00474774"/>
    <w:rsid w:val="00475869"/>
    <w:rsid w:val="004B03E1"/>
    <w:rsid w:val="004D1904"/>
    <w:rsid w:val="00500281"/>
    <w:rsid w:val="00532438"/>
    <w:rsid w:val="00545E07"/>
    <w:rsid w:val="00546F2C"/>
    <w:rsid w:val="00565598"/>
    <w:rsid w:val="005669F9"/>
    <w:rsid w:val="00583A1E"/>
    <w:rsid w:val="00585C11"/>
    <w:rsid w:val="00590CE5"/>
    <w:rsid w:val="00591385"/>
    <w:rsid w:val="00595C23"/>
    <w:rsid w:val="005A7C0F"/>
    <w:rsid w:val="005B07F7"/>
    <w:rsid w:val="005B0BAF"/>
    <w:rsid w:val="005C7BCE"/>
    <w:rsid w:val="005D42A2"/>
    <w:rsid w:val="005D436E"/>
    <w:rsid w:val="005D77D5"/>
    <w:rsid w:val="005E42BC"/>
    <w:rsid w:val="005E53FA"/>
    <w:rsid w:val="005E6138"/>
    <w:rsid w:val="006157EC"/>
    <w:rsid w:val="00617974"/>
    <w:rsid w:val="006610DC"/>
    <w:rsid w:val="00661C59"/>
    <w:rsid w:val="00665BA1"/>
    <w:rsid w:val="00672B58"/>
    <w:rsid w:val="00686C2E"/>
    <w:rsid w:val="00692C8A"/>
    <w:rsid w:val="00693653"/>
    <w:rsid w:val="006A4B20"/>
    <w:rsid w:val="006A5F4C"/>
    <w:rsid w:val="006A6770"/>
    <w:rsid w:val="006A76C4"/>
    <w:rsid w:val="006C058C"/>
    <w:rsid w:val="006C2D89"/>
    <w:rsid w:val="006C4DF0"/>
    <w:rsid w:val="006E7E45"/>
    <w:rsid w:val="006F53A1"/>
    <w:rsid w:val="00715203"/>
    <w:rsid w:val="007245C8"/>
    <w:rsid w:val="007255D0"/>
    <w:rsid w:val="0072561D"/>
    <w:rsid w:val="0072671E"/>
    <w:rsid w:val="00726DAF"/>
    <w:rsid w:val="00744619"/>
    <w:rsid w:val="00761EDE"/>
    <w:rsid w:val="0076746E"/>
    <w:rsid w:val="00771E8A"/>
    <w:rsid w:val="007763DF"/>
    <w:rsid w:val="00783AEB"/>
    <w:rsid w:val="007919F9"/>
    <w:rsid w:val="00797DF5"/>
    <w:rsid w:val="007B1B01"/>
    <w:rsid w:val="007B230A"/>
    <w:rsid w:val="007F31A0"/>
    <w:rsid w:val="007F5534"/>
    <w:rsid w:val="00801521"/>
    <w:rsid w:val="00810D80"/>
    <w:rsid w:val="00830FA9"/>
    <w:rsid w:val="00834D50"/>
    <w:rsid w:val="00855488"/>
    <w:rsid w:val="00857B52"/>
    <w:rsid w:val="00866F16"/>
    <w:rsid w:val="00870547"/>
    <w:rsid w:val="0087636A"/>
    <w:rsid w:val="00895226"/>
    <w:rsid w:val="008A0ABE"/>
    <w:rsid w:val="008C33F4"/>
    <w:rsid w:val="008D2F90"/>
    <w:rsid w:val="008F0BC1"/>
    <w:rsid w:val="00917ECB"/>
    <w:rsid w:val="00924F9F"/>
    <w:rsid w:val="009331F0"/>
    <w:rsid w:val="009530CF"/>
    <w:rsid w:val="00963C74"/>
    <w:rsid w:val="0096561C"/>
    <w:rsid w:val="00972CFB"/>
    <w:rsid w:val="00975206"/>
    <w:rsid w:val="00975F5D"/>
    <w:rsid w:val="00991E55"/>
    <w:rsid w:val="009A2040"/>
    <w:rsid w:val="009A2C6A"/>
    <w:rsid w:val="009B1999"/>
    <w:rsid w:val="009B61FF"/>
    <w:rsid w:val="009D2020"/>
    <w:rsid w:val="009E0B43"/>
    <w:rsid w:val="00A060F6"/>
    <w:rsid w:val="00A13CDE"/>
    <w:rsid w:val="00A27C10"/>
    <w:rsid w:val="00A3711E"/>
    <w:rsid w:val="00A43D97"/>
    <w:rsid w:val="00A4767D"/>
    <w:rsid w:val="00A52332"/>
    <w:rsid w:val="00A65FE9"/>
    <w:rsid w:val="00A664EE"/>
    <w:rsid w:val="00A73A78"/>
    <w:rsid w:val="00A852E5"/>
    <w:rsid w:val="00AA28AA"/>
    <w:rsid w:val="00AA3D2F"/>
    <w:rsid w:val="00AB0B92"/>
    <w:rsid w:val="00AB75D0"/>
    <w:rsid w:val="00AC1890"/>
    <w:rsid w:val="00AC3C95"/>
    <w:rsid w:val="00AE14BE"/>
    <w:rsid w:val="00B2371E"/>
    <w:rsid w:val="00B31959"/>
    <w:rsid w:val="00B400A8"/>
    <w:rsid w:val="00B5468A"/>
    <w:rsid w:val="00B558BA"/>
    <w:rsid w:val="00B64EE0"/>
    <w:rsid w:val="00BA365B"/>
    <w:rsid w:val="00BE2219"/>
    <w:rsid w:val="00BF6441"/>
    <w:rsid w:val="00BF6B20"/>
    <w:rsid w:val="00C0066D"/>
    <w:rsid w:val="00C10A3B"/>
    <w:rsid w:val="00C25A79"/>
    <w:rsid w:val="00C65C6A"/>
    <w:rsid w:val="00C67754"/>
    <w:rsid w:val="00C8725E"/>
    <w:rsid w:val="00CB1F9B"/>
    <w:rsid w:val="00CB21CA"/>
    <w:rsid w:val="00CD06D3"/>
    <w:rsid w:val="00CD1BFF"/>
    <w:rsid w:val="00D114C2"/>
    <w:rsid w:val="00D3095C"/>
    <w:rsid w:val="00D34C9E"/>
    <w:rsid w:val="00D422FF"/>
    <w:rsid w:val="00D61813"/>
    <w:rsid w:val="00D87C69"/>
    <w:rsid w:val="00D96324"/>
    <w:rsid w:val="00DC6DC9"/>
    <w:rsid w:val="00DD712F"/>
    <w:rsid w:val="00DF1CFA"/>
    <w:rsid w:val="00DF7140"/>
    <w:rsid w:val="00E176A1"/>
    <w:rsid w:val="00E2793B"/>
    <w:rsid w:val="00E45B89"/>
    <w:rsid w:val="00E5610D"/>
    <w:rsid w:val="00E80CEE"/>
    <w:rsid w:val="00EA37FE"/>
    <w:rsid w:val="00EF058C"/>
    <w:rsid w:val="00EF212C"/>
    <w:rsid w:val="00F45DF1"/>
    <w:rsid w:val="00F54632"/>
    <w:rsid w:val="00F56364"/>
    <w:rsid w:val="00F85B2A"/>
    <w:rsid w:val="00FD1243"/>
    <w:rsid w:val="00FD7702"/>
    <w:rsid w:val="00FE70E6"/>
    <w:rsid w:val="00FF3949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  <w:lang w:eastAsia="de-DE"/>
    </w:rPr>
  </w:style>
  <w:style w:type="paragraph" w:styleId="Nagwek1">
    <w:name w:val="heading 1"/>
    <w:basedOn w:val="Normalny"/>
    <w:next w:val="Normalny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Nagwek2">
    <w:name w:val="heading 2"/>
    <w:basedOn w:val="Nagwek1"/>
    <w:next w:val="Normalny"/>
    <w:qFormat/>
    <w:rsid w:val="006F53A1"/>
    <w:pPr>
      <w:ind w:left="720" w:hanging="720"/>
      <w:outlineLvl w:val="1"/>
    </w:pPr>
    <w:rPr>
      <w:i/>
      <w:caps w:val="0"/>
    </w:rPr>
  </w:style>
  <w:style w:type="paragraph" w:styleId="Nagwek3">
    <w:name w:val="heading 3"/>
    <w:basedOn w:val="Nagwek2"/>
    <w:next w:val="Normalny"/>
    <w:qFormat/>
    <w:rsid w:val="006F53A1"/>
    <w:pPr>
      <w:ind w:left="1440"/>
      <w:outlineLvl w:val="2"/>
    </w:pPr>
    <w:rPr>
      <w:i w:val="0"/>
      <w:sz w:val="21"/>
    </w:rPr>
  </w:style>
  <w:style w:type="paragraph" w:styleId="Nagwek4">
    <w:name w:val="heading 4"/>
    <w:basedOn w:val="Nagwek3"/>
    <w:next w:val="Normalny"/>
    <w:qFormat/>
    <w:rsid w:val="00013FEF"/>
    <w:pPr>
      <w:outlineLvl w:val="3"/>
    </w:pPr>
  </w:style>
  <w:style w:type="paragraph" w:styleId="Nagwek5">
    <w:name w:val="heading 5"/>
    <w:basedOn w:val="Nagwek4"/>
    <w:next w:val="Nagwek4"/>
    <w:qFormat/>
    <w:rsid w:val="00013FEF"/>
    <w:pPr>
      <w:outlineLvl w:val="4"/>
    </w:pPr>
  </w:style>
  <w:style w:type="paragraph" w:styleId="Nagwek6">
    <w:name w:val="heading 6"/>
    <w:basedOn w:val="Nagwek5"/>
    <w:next w:val="Normalny"/>
    <w:qFormat/>
    <w:rsid w:val="00013FEF"/>
    <w:pPr>
      <w:outlineLvl w:val="5"/>
    </w:pPr>
  </w:style>
  <w:style w:type="paragraph" w:styleId="Nagwek7">
    <w:name w:val="heading 7"/>
    <w:basedOn w:val="Nagwek6"/>
    <w:next w:val="Normalny"/>
    <w:qFormat/>
    <w:rsid w:val="00013FEF"/>
    <w:pPr>
      <w:outlineLvl w:val="6"/>
    </w:pPr>
  </w:style>
  <w:style w:type="paragraph" w:styleId="Nagwek8">
    <w:name w:val="heading 8"/>
    <w:basedOn w:val="Nagwek7"/>
    <w:next w:val="Normalny"/>
    <w:qFormat/>
    <w:rsid w:val="00013FEF"/>
    <w:pPr>
      <w:outlineLvl w:val="7"/>
    </w:pPr>
  </w:style>
  <w:style w:type="paragraph" w:styleId="Nagwek9">
    <w:name w:val="heading 9"/>
    <w:basedOn w:val="Nagwek8"/>
    <w:next w:val="Normalny"/>
    <w:qFormat/>
    <w:rsid w:val="00013FEF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26D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Tabela-Siatka">
    <w:name w:val="Table Grid"/>
    <w:basedOn w:val="Standardowy"/>
    <w:rsid w:val="00726DAF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ina">
    <w:name w:val="Pagina"/>
    <w:basedOn w:val="Normalny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lny"/>
    <w:rsid w:val="00013FEF"/>
    <w:rPr>
      <w:b/>
    </w:rPr>
  </w:style>
  <w:style w:type="paragraph" w:customStyle="1" w:styleId="white">
    <w:name w:val="white"/>
    <w:basedOn w:val="Normalny"/>
    <w:rsid w:val="00726DAF"/>
    <w:pPr>
      <w:spacing w:line="240" w:lineRule="auto"/>
    </w:pPr>
    <w:rPr>
      <w:color w:val="FFFFFF"/>
      <w:sz w:val="2"/>
      <w:szCs w:val="2"/>
    </w:rPr>
  </w:style>
  <w:style w:type="paragraph" w:styleId="Tekstdymka">
    <w:name w:val="Balloon Text"/>
    <w:basedOn w:val="Normalny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ny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lny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lny"/>
    <w:next w:val="Normalny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Tytu">
    <w:name w:val="Title"/>
    <w:basedOn w:val="Normalny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Podtytu">
    <w:name w:val="Subtitle"/>
    <w:basedOn w:val="Tytu"/>
    <w:qFormat/>
    <w:rsid w:val="006F53A1"/>
    <w:pPr>
      <w:spacing w:before="0"/>
    </w:pPr>
    <w:rPr>
      <w:bCs/>
      <w:i/>
      <w:sz w:val="28"/>
    </w:rPr>
  </w:style>
  <w:style w:type="paragraph" w:styleId="Akapitzlist">
    <w:name w:val="List Paragraph"/>
    <w:basedOn w:val="Normalny"/>
    <w:qFormat/>
    <w:rsid w:val="005B07F7"/>
    <w:pPr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rsid w:val="0085548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54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C65C6A"/>
    <w:rPr>
      <w:rFonts w:ascii="Georgia" w:hAnsi="Georgia"/>
      <w:kern w:val="4"/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rsid w:val="00C65C6A"/>
    <w:rPr>
      <w:b/>
      <w:bCs/>
    </w:rPr>
  </w:style>
  <w:style w:type="character" w:customStyle="1" w:styleId="TematkomentarzaZnak">
    <w:name w:val="Temat komentarza Znak"/>
    <w:link w:val="Tematkomentarza"/>
    <w:rsid w:val="00C65C6A"/>
    <w:rPr>
      <w:rFonts w:ascii="Georgia" w:hAnsi="Georgia"/>
      <w:b/>
      <w:bCs/>
      <w:kern w:val="4"/>
      <w:lang w:eastAsia="de-DE"/>
    </w:rPr>
  </w:style>
  <w:style w:type="paragraph" w:styleId="Poprawka">
    <w:name w:val="Revision"/>
    <w:hidden/>
    <w:rsid w:val="005D77D5"/>
    <w:rPr>
      <w:rFonts w:ascii="Georgia" w:hAnsi="Georgia"/>
      <w:kern w:val="4"/>
      <w:sz w:val="21"/>
      <w:szCs w:val="24"/>
      <w:lang w:eastAsia="de-DE"/>
    </w:rPr>
  </w:style>
  <w:style w:type="paragraph" w:styleId="Tekstprzypisudolnego">
    <w:name w:val="footnote text"/>
    <w:basedOn w:val="Normalny"/>
    <w:link w:val="TekstprzypisudolnegoZnak"/>
    <w:rsid w:val="0059138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591385"/>
    <w:rPr>
      <w:rFonts w:ascii="Georgia" w:hAnsi="Georgia"/>
      <w:kern w:val="4"/>
      <w:lang w:eastAsia="de-DE"/>
    </w:rPr>
  </w:style>
  <w:style w:type="character" w:styleId="Odwoanieprzypisudolnego">
    <w:name w:val="footnote reference"/>
    <w:rsid w:val="00591385"/>
    <w:rPr>
      <w:vertAlign w:val="superscript"/>
    </w:rPr>
  </w:style>
  <w:style w:type="character" w:styleId="Hipercze">
    <w:name w:val="Hyperlink"/>
    <w:rsid w:val="00591385"/>
    <w:rPr>
      <w:color w:val="0563C1"/>
      <w:u w:val="single"/>
    </w:rPr>
  </w:style>
  <w:style w:type="character" w:customStyle="1" w:styleId="UnresolvedMention">
    <w:name w:val="Unresolved Mention"/>
    <w:rsid w:val="005913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ata.consilium.europa.eu/doc/document/ST-12695-2020-REV-1/en/pdf" TargetMode="External"/><Relationship Id="rId2" Type="http://schemas.openxmlformats.org/officeDocument/2006/relationships/hyperlink" Target="https://www.europarl.europa.eu/doceo/document/TA-9-2020-0257_EN.html" TargetMode="External"/><Relationship Id="rId1" Type="http://schemas.openxmlformats.org/officeDocument/2006/relationships/hyperlink" Target="https://foresteurope.org/wp-content/uploads/2016/08/SoEF_2020.pdf" TargetMode="External"/><Relationship Id="rId4" Type="http://schemas.openxmlformats.org/officeDocument/2006/relationships/hyperlink" Target="https://eur-lex.europa.eu/legal-content/EN/TXT/?qid=1603122220757&amp;uri=CELEX:52020DC066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2267</Words>
  <Characters>13605</Characters>
  <Application>Microsoft Office Word</Application>
  <DocSecurity>0</DocSecurity>
  <Lines>113</Lines>
  <Paragraphs>31</Paragraphs>
  <ScaleCrop>false</ScaleCrop>
  <Company>Copa-Cogeca - European Farmers</Company>
  <LinksUpToDate>false</LinksUpToDate>
  <CharactersWithSpaces>15841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*</dc:creator>
  <cp:keywords/>
  <dc:description>Template letter;
Version 002;
2008-09-18;</dc:description>
  <cp:lastModifiedBy>oem</cp:lastModifiedBy>
  <cp:revision>2</cp:revision>
  <cp:lastPrinted>2008-10-28T18:54:00Z</cp:lastPrinted>
  <dcterms:created xsi:type="dcterms:W3CDTF">2021-04-08T14:42:00Z</dcterms:created>
  <dcterms:modified xsi:type="dcterms:W3CDTF">2021-04-08T14:42:00Z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FP(21)1801:2</vt:lpwstr>
  </property>
  <property fmtid="{D5CDD505-2E9C-101B-9397-08002B2CF9AE}" pid="3" name="ContentTypeId">
    <vt:lpwstr>0x0101001B92F8E667D28B49B1E0E87B69C18344</vt:lpwstr>
  </property>
</Properties>
</file>