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8C6" w:rsidRDefault="001808C6" w:rsidP="003B6B5E">
      <w:pPr>
        <w:spacing w:after="200"/>
      </w:pPr>
    </w:p>
    <w:p w:rsidR="007E0855" w:rsidRPr="002D3FBC" w:rsidRDefault="00064EA2" w:rsidP="007E0855">
      <w:pPr>
        <w:tabs>
          <w:tab w:val="left" w:pos="5954"/>
        </w:tabs>
      </w:pPr>
      <w:fldSimple w:instr=" DOCPROPERTY  PWThreadMemo  \* MERGEFORMAT ">
        <w:r w:rsidR="002D3FBC" w:rsidRPr="002D3FBC">
          <w:rPr>
            <w:szCs w:val="21"/>
          </w:rPr>
          <w:t>BILAT(21)1509:1</w:t>
        </w:r>
      </w:fldSimple>
      <w:r w:rsidR="002436E7">
        <w:t xml:space="preserve"> – DA/</w:t>
      </w:r>
      <w:proofErr w:type="spellStart"/>
      <w:r w:rsidR="002436E7">
        <w:t>lb</w:t>
      </w:r>
      <w:proofErr w:type="spellEnd"/>
      <w:r w:rsidR="002436E7">
        <w:t xml:space="preserve"> </w:t>
      </w:r>
      <w:r w:rsidR="002436E7">
        <w:tab/>
        <w:t>Bruksela, 18 lutego 2021 r.</w:t>
      </w:r>
    </w:p>
    <w:p w:rsidR="007E0855" w:rsidRPr="00917F6A" w:rsidRDefault="007E0855" w:rsidP="007E0855">
      <w:pPr>
        <w:tabs>
          <w:tab w:val="left" w:pos="5954"/>
        </w:tabs>
        <w:spacing w:after="200"/>
      </w:pPr>
    </w:p>
    <w:p w:rsidR="007E0855" w:rsidRPr="00917F6A" w:rsidRDefault="007E0855" w:rsidP="007E0855">
      <w:pPr>
        <w:tabs>
          <w:tab w:val="left" w:pos="5954"/>
        </w:tabs>
        <w:spacing w:after="200"/>
      </w:pPr>
    </w:p>
    <w:p w:rsidR="007E0855" w:rsidRDefault="007E0855" w:rsidP="007E0855">
      <w:pPr>
        <w:spacing w:after="200"/>
        <w:jc w:val="center"/>
        <w:rPr>
          <w:b/>
          <w:bCs/>
          <w:szCs w:val="21"/>
        </w:rPr>
      </w:pPr>
      <w:r>
        <w:rPr>
          <w:b/>
          <w:bCs/>
          <w:szCs w:val="21"/>
        </w:rPr>
        <w:t xml:space="preserve">NOTATKA NAKREŚLAJĄCA KONTEKST PRZEGLĄDU POLITYKI HANDLOWEJ - OTWARTA, ZRÓWNOWAŻONA I ASERTYWNA POLITYKA HANDLOWA </w:t>
      </w:r>
    </w:p>
    <w:p w:rsidR="007E0855" w:rsidRDefault="007E0855" w:rsidP="00917F6A">
      <w:pPr>
        <w:spacing w:after="200"/>
      </w:pPr>
      <w:r>
        <w:t>Notatka ta ma na celu przedstawienie wstępnej oceny komunikat Komisji do Parlamentu Europejskiego, Rady, Europejskiego Komitetu Ekonomiczno-Społecznego i Komitetu Regionów.</w:t>
      </w:r>
    </w:p>
    <w:p w:rsidR="007E0855" w:rsidRDefault="007E0855" w:rsidP="007E0855">
      <w:pPr>
        <w:autoSpaceDE w:val="0"/>
        <w:autoSpaceDN w:val="0"/>
        <w:adjustRightInd w:val="0"/>
      </w:pPr>
      <w:r>
        <w:t>Przegląd polityki handlowej – otwarta, zrównoważona i asertywna polityka handlowa</w:t>
      </w:r>
    </w:p>
    <w:p w:rsidR="007E0855" w:rsidRPr="00917F6A" w:rsidRDefault="007E0855" w:rsidP="007E0855">
      <w:pPr>
        <w:autoSpaceDE w:val="0"/>
        <w:autoSpaceDN w:val="0"/>
        <w:adjustRightInd w:val="0"/>
      </w:pPr>
    </w:p>
    <w:p w:rsidR="007E0855" w:rsidRDefault="007E0855" w:rsidP="007E0855">
      <w:pPr>
        <w:autoSpaceDE w:val="0"/>
        <w:autoSpaceDN w:val="0"/>
        <w:adjustRightInd w:val="0"/>
      </w:pPr>
      <w:r>
        <w:t xml:space="preserve">Z pełną wersją komunikatu można zapoznać się tutaj: </w:t>
      </w:r>
      <w:hyperlink r:id="rId7" w:history="1">
        <w:r>
          <w:rPr>
            <w:rStyle w:val="Hipercze"/>
          </w:rPr>
          <w:t>https://trade.ec.europa.eu/doclib/docs/2021/february/tradoc_159438.pdf</w:t>
        </w:r>
      </w:hyperlink>
    </w:p>
    <w:p w:rsidR="007E0855" w:rsidRPr="00917F6A" w:rsidRDefault="007E0855" w:rsidP="007E0855">
      <w:pPr>
        <w:autoSpaceDE w:val="0"/>
        <w:autoSpaceDN w:val="0"/>
        <w:adjustRightInd w:val="0"/>
      </w:pPr>
    </w:p>
    <w:p w:rsidR="007E0855" w:rsidRPr="000248B5" w:rsidRDefault="007E0855" w:rsidP="007E0855">
      <w:pPr>
        <w:pStyle w:val="Akapitzlist"/>
        <w:ind w:left="0"/>
        <w:rPr>
          <w:b/>
          <w:bCs/>
          <w:u w:val="single"/>
        </w:rPr>
      </w:pPr>
      <w:r>
        <w:rPr>
          <w:b/>
          <w:bCs/>
          <w:u w:val="single"/>
        </w:rPr>
        <w:t>Przegląd polityki handlowej – otwarta, zrównoważona i asertywna polityka handlowa</w:t>
      </w:r>
    </w:p>
    <w:p w:rsidR="007E0855" w:rsidRPr="00917F6A" w:rsidRDefault="007E0855" w:rsidP="007E0855">
      <w:pPr>
        <w:pStyle w:val="Akapitzlist"/>
        <w:ind w:left="0"/>
        <w:rPr>
          <w:b/>
          <w:bCs/>
          <w:u w:val="single"/>
        </w:rPr>
      </w:pPr>
    </w:p>
    <w:p w:rsidR="007E0855" w:rsidRPr="000248B5" w:rsidRDefault="007E0855" w:rsidP="007E0855">
      <w:pPr>
        <w:autoSpaceDE w:val="0"/>
        <w:autoSpaceDN w:val="0"/>
        <w:adjustRightInd w:val="0"/>
        <w:rPr>
          <w:bCs/>
          <w:szCs w:val="21"/>
        </w:rPr>
      </w:pPr>
      <w:r>
        <w:t>W czerwcu 2020 r. Komisja Europejska rozpoczęła przegląd polityki handlowej UE, który doprowadzi do przyjęcia zmienionej strategii. Publikacja miała miejsce 18 lutego br. Jego celem jest nadanie polityce handlowej nowego kierunku w zmieniającym się kontekście globalnym (zró</w:t>
      </w:r>
      <w:r w:rsidR="00917F6A">
        <w:t>wnoważoność, zmiany klimatu itd.</w:t>
      </w:r>
      <w:r>
        <w:t xml:space="preserve">), który będzie zgodny z priorytetami UE oraz będzie wspierał odbudowę po kryzysie spowodowanym </w:t>
      </w:r>
      <w:proofErr w:type="spellStart"/>
      <w:r>
        <w:t>koronawirusem</w:t>
      </w:r>
      <w:proofErr w:type="spellEnd"/>
      <w:r>
        <w:t>. Copa-Cogeca przygotowała niniejszy dokument - zob. BILAT(20)5455. Parlament Europejski w swojej rezolucji (listopad, 2020) z zadowoleniem przyjął rozpoczęcie przeglądu polityki handlowej, co utoruje drogę do otwartej strategicznej autonomii.</w:t>
      </w:r>
    </w:p>
    <w:p w:rsidR="007E0855" w:rsidRPr="00917F6A" w:rsidRDefault="007E0855" w:rsidP="007E0855">
      <w:pPr>
        <w:autoSpaceDE w:val="0"/>
        <w:autoSpaceDN w:val="0"/>
        <w:adjustRightInd w:val="0"/>
        <w:rPr>
          <w:bCs/>
          <w:szCs w:val="21"/>
        </w:rPr>
      </w:pPr>
    </w:p>
    <w:p w:rsidR="007E0855" w:rsidRPr="000248B5" w:rsidRDefault="007E0855" w:rsidP="007E0855">
      <w:pPr>
        <w:autoSpaceDE w:val="0"/>
        <w:autoSpaceDN w:val="0"/>
        <w:adjustRightInd w:val="0"/>
        <w:rPr>
          <w:b/>
          <w:szCs w:val="21"/>
        </w:rPr>
      </w:pPr>
      <w:r>
        <w:rPr>
          <w:b/>
          <w:szCs w:val="21"/>
        </w:rPr>
        <w:t>CZYM JEST OTWARTA STRATEGICZNA AUTONOMIA?</w:t>
      </w:r>
    </w:p>
    <w:p w:rsidR="007E0855" w:rsidRPr="00917F6A" w:rsidRDefault="007E0855" w:rsidP="007E0855">
      <w:pPr>
        <w:autoSpaceDE w:val="0"/>
        <w:autoSpaceDN w:val="0"/>
        <w:adjustRightInd w:val="0"/>
        <w:rPr>
          <w:bCs/>
          <w:szCs w:val="21"/>
        </w:rPr>
      </w:pPr>
    </w:p>
    <w:p w:rsidR="007E0855" w:rsidRPr="000248B5" w:rsidRDefault="007E0855" w:rsidP="007E0855">
      <w:pPr>
        <w:autoSpaceDE w:val="0"/>
        <w:autoSpaceDN w:val="0"/>
        <w:adjustRightInd w:val="0"/>
        <w:rPr>
          <w:bCs/>
          <w:szCs w:val="21"/>
        </w:rPr>
      </w:pPr>
      <w:r>
        <w:t>Dzięki otwartej strategicznej autonomii UE może stać się silniejsza - zarówno pod względem gospodarczym jak i geopolitycznym - poprzez:</w:t>
      </w:r>
    </w:p>
    <w:p w:rsidR="007E0855" w:rsidRPr="000248B5" w:rsidRDefault="007E0855" w:rsidP="007E0855">
      <w:pPr>
        <w:numPr>
          <w:ilvl w:val="0"/>
          <w:numId w:val="1"/>
        </w:numPr>
        <w:autoSpaceDE w:val="0"/>
        <w:autoSpaceDN w:val="0"/>
        <w:adjustRightInd w:val="0"/>
        <w:rPr>
          <w:bCs/>
          <w:szCs w:val="21"/>
        </w:rPr>
      </w:pPr>
      <w:r>
        <w:t>Otwarto</w:t>
      </w:r>
      <w:r w:rsidR="00917F6A">
        <w:t>ść na handel i inwestycje, by</w:t>
      </w:r>
      <w:r>
        <w:t xml:space="preserve"> mogła wyjść z kryzysu oraz utrzymać swoją konkurencyjność i łączność ze światem.</w:t>
      </w:r>
    </w:p>
    <w:p w:rsidR="007E0855" w:rsidRPr="000248B5" w:rsidRDefault="007E0855" w:rsidP="007E0855">
      <w:pPr>
        <w:numPr>
          <w:ilvl w:val="0"/>
          <w:numId w:val="1"/>
        </w:numPr>
        <w:autoSpaceDE w:val="0"/>
        <w:autoSpaceDN w:val="0"/>
        <w:adjustRightInd w:val="0"/>
        <w:rPr>
          <w:bCs/>
          <w:szCs w:val="21"/>
        </w:rPr>
      </w:pPr>
      <w:r>
        <w:t>Zrównoważoność i odpowiedzialność, by stać się międzynarodowym liderem kształtującym bardziej ekologiczny i sprawiedliwszy świat, dzięki wzmocnieniu istniejących sojuszy i nawiązaniu współpracy z licznymi partnerami.</w:t>
      </w:r>
    </w:p>
    <w:p w:rsidR="007E0855" w:rsidRPr="000248B5" w:rsidRDefault="007E0855" w:rsidP="007E0855">
      <w:pPr>
        <w:numPr>
          <w:ilvl w:val="0"/>
          <w:numId w:val="1"/>
        </w:numPr>
        <w:autoSpaceDE w:val="0"/>
        <w:autoSpaceDN w:val="0"/>
        <w:adjustRightInd w:val="0"/>
        <w:rPr>
          <w:bCs/>
          <w:szCs w:val="21"/>
        </w:rPr>
      </w:pPr>
      <w:r>
        <w:t>Asertywność wobec nieuczciwych i wymuszających praktyk, a także gotowość do egzekwowania swoich praw, zawsze wybierając współpracę na szczeblu międzynarodowych do rozwiązywania problemów globalnych.</w:t>
      </w:r>
    </w:p>
    <w:p w:rsidR="007E0855" w:rsidRPr="00917F6A" w:rsidRDefault="007E0855" w:rsidP="007E0855">
      <w:pPr>
        <w:autoSpaceDE w:val="0"/>
        <w:autoSpaceDN w:val="0"/>
        <w:adjustRightInd w:val="0"/>
        <w:rPr>
          <w:bCs/>
          <w:szCs w:val="21"/>
        </w:rPr>
      </w:pPr>
    </w:p>
    <w:p w:rsidR="007E0855" w:rsidRPr="000248B5" w:rsidRDefault="007E0855" w:rsidP="007E0855">
      <w:pPr>
        <w:autoSpaceDE w:val="0"/>
        <w:autoSpaceDN w:val="0"/>
        <w:adjustRightInd w:val="0"/>
        <w:rPr>
          <w:bCs/>
          <w:szCs w:val="21"/>
        </w:rPr>
      </w:pPr>
      <w:r>
        <w:t>Otwarta strategiczna autonomia jest busolą unijnej polityki handlowej w dobie transformacji gospodarczej i niestabilności geopolitycznej. Działania:</w:t>
      </w:r>
    </w:p>
    <w:p w:rsidR="007E0855" w:rsidRPr="000248B5" w:rsidRDefault="007E0855" w:rsidP="007E0855">
      <w:pPr>
        <w:autoSpaceDE w:val="0"/>
        <w:autoSpaceDN w:val="0"/>
        <w:adjustRightInd w:val="0"/>
        <w:ind w:left="708"/>
        <w:rPr>
          <w:bCs/>
          <w:szCs w:val="21"/>
        </w:rPr>
      </w:pPr>
      <w:r>
        <w:t xml:space="preserve"> </w:t>
      </w:r>
      <w:r>
        <w:rPr>
          <w:rFonts w:ascii="Segoe UI Symbol" w:hAnsi="Segoe UI Symbol"/>
          <w:bCs/>
          <w:szCs w:val="21"/>
        </w:rPr>
        <w:t>✓</w:t>
      </w:r>
      <w:r>
        <w:t xml:space="preserve"> Uznanie reformy WTO za priorytet i wspieranie multilateralizmu na rzecz zrównoważonego rozwoju, ekologicznej i cyfrowej transformacji oraz globalnych rozwiązań.</w:t>
      </w:r>
    </w:p>
    <w:p w:rsidR="007E0855" w:rsidRPr="000248B5" w:rsidRDefault="007E0855" w:rsidP="007E0855">
      <w:pPr>
        <w:autoSpaceDE w:val="0"/>
        <w:autoSpaceDN w:val="0"/>
        <w:adjustRightInd w:val="0"/>
        <w:ind w:left="708"/>
        <w:rPr>
          <w:bCs/>
          <w:szCs w:val="21"/>
        </w:rPr>
      </w:pPr>
      <w:r>
        <w:t xml:space="preserve"> </w:t>
      </w:r>
      <w:r>
        <w:rPr>
          <w:rFonts w:ascii="Segoe UI Symbol" w:hAnsi="Segoe UI Symbol"/>
          <w:bCs/>
          <w:szCs w:val="21"/>
        </w:rPr>
        <w:t>✓</w:t>
      </w:r>
      <w:r>
        <w:t xml:space="preserve"> Odbudowa partnerstwa transatlantyckiego i nawiązanie współpracy z licznymi partnerami, by promować dialog i współpracę oraz wspólnie mierzyć się z wyzwaniami.</w:t>
      </w:r>
    </w:p>
    <w:p w:rsidR="007E0855" w:rsidRPr="000248B5" w:rsidRDefault="007E0855" w:rsidP="007E0855">
      <w:pPr>
        <w:autoSpaceDE w:val="0"/>
        <w:autoSpaceDN w:val="0"/>
        <w:adjustRightInd w:val="0"/>
        <w:ind w:left="708"/>
        <w:rPr>
          <w:bCs/>
          <w:szCs w:val="21"/>
        </w:rPr>
      </w:pPr>
      <w:r>
        <w:rPr>
          <w:rFonts w:ascii="Segoe UI Symbol" w:hAnsi="Segoe UI Symbol"/>
          <w:bCs/>
          <w:szCs w:val="21"/>
        </w:rPr>
        <w:t>✓</w:t>
      </w:r>
      <w:r>
        <w:t xml:space="preserve"> Wykorzystanie wszystkich polityk i środków, by firmy i pracownicy w UE odczuli wymierne korzyści, umowy handlowe były wdrażane i egzekwowane, a równe szanse były zapewnione.</w:t>
      </w:r>
    </w:p>
    <w:p w:rsidR="007E0855" w:rsidRPr="000248B5" w:rsidRDefault="007E0855" w:rsidP="007E0855">
      <w:pPr>
        <w:autoSpaceDE w:val="0"/>
        <w:autoSpaceDN w:val="0"/>
        <w:adjustRightInd w:val="0"/>
        <w:ind w:left="708"/>
        <w:rPr>
          <w:bCs/>
          <w:szCs w:val="21"/>
        </w:rPr>
      </w:pPr>
      <w:r>
        <w:t xml:space="preserve"> </w:t>
      </w:r>
      <w:r>
        <w:rPr>
          <w:rFonts w:ascii="Segoe UI Symbol" w:hAnsi="Segoe UI Symbol"/>
          <w:bCs/>
          <w:szCs w:val="21"/>
        </w:rPr>
        <w:t>✓</w:t>
      </w:r>
      <w:r>
        <w:t xml:space="preserve"> Przygotowanie i przyjęcie instrumentu zapobiegającego środkom przymusu w krajach poza UE.</w:t>
      </w:r>
    </w:p>
    <w:p w:rsidR="007E0855" w:rsidRPr="00917F6A" w:rsidRDefault="007E0855" w:rsidP="007E0855">
      <w:pPr>
        <w:autoSpaceDE w:val="0"/>
        <w:autoSpaceDN w:val="0"/>
        <w:adjustRightInd w:val="0"/>
        <w:rPr>
          <w:bCs/>
          <w:szCs w:val="21"/>
        </w:rPr>
      </w:pPr>
    </w:p>
    <w:p w:rsidR="007E0855" w:rsidRDefault="007E0855" w:rsidP="007E0855">
      <w:pPr>
        <w:autoSpaceDE w:val="0"/>
        <w:autoSpaceDN w:val="0"/>
        <w:adjustRightInd w:val="0"/>
        <w:rPr>
          <w:bCs/>
          <w:szCs w:val="21"/>
        </w:rPr>
      </w:pPr>
      <w:r>
        <w:t>Trzy główne cele polityki handlowej w średnim okresie:</w:t>
      </w:r>
    </w:p>
    <w:p w:rsidR="007E0855" w:rsidRPr="00917F6A" w:rsidRDefault="007E0855" w:rsidP="007E0855">
      <w:pPr>
        <w:autoSpaceDE w:val="0"/>
        <w:autoSpaceDN w:val="0"/>
        <w:adjustRightInd w:val="0"/>
        <w:rPr>
          <w:bCs/>
          <w:szCs w:val="21"/>
        </w:rPr>
      </w:pPr>
    </w:p>
    <w:p w:rsidR="007E0855" w:rsidRDefault="007E0855" w:rsidP="007E0855">
      <w:pPr>
        <w:numPr>
          <w:ilvl w:val="0"/>
          <w:numId w:val="5"/>
        </w:numPr>
        <w:autoSpaceDE w:val="0"/>
        <w:autoSpaceDN w:val="0"/>
        <w:adjustRightInd w:val="0"/>
        <w:rPr>
          <w:bCs/>
          <w:szCs w:val="21"/>
        </w:rPr>
      </w:pPr>
      <w:r>
        <w:t>Po pierwsze, wspierać odbudowę i zasadnicze przekształcenie gospodarki UE zgodnie z jej celami w obszarze ekologii i cyfryzacji.</w:t>
      </w:r>
    </w:p>
    <w:p w:rsidR="007E0855" w:rsidRDefault="007E0855" w:rsidP="007E0855">
      <w:pPr>
        <w:numPr>
          <w:ilvl w:val="0"/>
          <w:numId w:val="5"/>
        </w:numPr>
        <w:autoSpaceDE w:val="0"/>
        <w:autoSpaceDN w:val="0"/>
        <w:adjustRightInd w:val="0"/>
        <w:rPr>
          <w:bCs/>
          <w:szCs w:val="21"/>
        </w:rPr>
      </w:pPr>
      <w:r>
        <w:t>Po drugie, kształtować ogólnoświatowe zasady na potrzeby bardziej zrównoważonej i sprawiedliwej globalizacji.</w:t>
      </w:r>
    </w:p>
    <w:p w:rsidR="007E0855" w:rsidRDefault="007E0855" w:rsidP="007E0855">
      <w:pPr>
        <w:numPr>
          <w:ilvl w:val="0"/>
          <w:numId w:val="5"/>
        </w:numPr>
        <w:autoSpaceDE w:val="0"/>
        <w:autoSpaceDN w:val="0"/>
        <w:adjustRightInd w:val="0"/>
        <w:rPr>
          <w:bCs/>
          <w:szCs w:val="21"/>
        </w:rPr>
      </w:pPr>
      <w:r>
        <w:t>Po trzecie, zwiększać zdolność UE do realizacji swoich interesów i egzekwowania swoich praw, w tym – w razie konieczności – samodzielnie.</w:t>
      </w:r>
    </w:p>
    <w:p w:rsidR="007E0855" w:rsidRPr="00917F6A" w:rsidRDefault="007E0855" w:rsidP="007E0855">
      <w:pPr>
        <w:autoSpaceDE w:val="0"/>
        <w:autoSpaceDN w:val="0"/>
        <w:adjustRightInd w:val="0"/>
        <w:rPr>
          <w:bCs/>
          <w:szCs w:val="21"/>
        </w:rPr>
      </w:pPr>
    </w:p>
    <w:p w:rsidR="007E0855" w:rsidRDefault="007E0855" w:rsidP="007E0855">
      <w:pPr>
        <w:autoSpaceDE w:val="0"/>
        <w:autoSpaceDN w:val="0"/>
        <w:adjustRightInd w:val="0"/>
        <w:rPr>
          <w:b/>
          <w:szCs w:val="21"/>
        </w:rPr>
      </w:pPr>
      <w:r>
        <w:rPr>
          <w:b/>
          <w:szCs w:val="21"/>
        </w:rPr>
        <w:t>Sześć obszarów o zasadniczym znaczeniu dla osiągnięcia celów UE w perspektywie średnioterminowej:</w:t>
      </w:r>
    </w:p>
    <w:p w:rsidR="007E0855" w:rsidRPr="00917F6A" w:rsidRDefault="007E0855" w:rsidP="007E0855">
      <w:pPr>
        <w:autoSpaceDE w:val="0"/>
        <w:autoSpaceDN w:val="0"/>
        <w:adjustRightInd w:val="0"/>
        <w:rPr>
          <w:b/>
          <w:szCs w:val="21"/>
        </w:rPr>
      </w:pPr>
    </w:p>
    <w:p w:rsidR="007E0855" w:rsidRDefault="007E0855" w:rsidP="007E0855">
      <w:pPr>
        <w:numPr>
          <w:ilvl w:val="0"/>
          <w:numId w:val="3"/>
        </w:numPr>
        <w:autoSpaceDE w:val="0"/>
        <w:autoSpaceDN w:val="0"/>
        <w:adjustRightInd w:val="0"/>
        <w:rPr>
          <w:b/>
          <w:szCs w:val="21"/>
        </w:rPr>
      </w:pPr>
      <w:r>
        <w:rPr>
          <w:b/>
          <w:szCs w:val="21"/>
        </w:rPr>
        <w:t>Reforma WTO</w:t>
      </w:r>
      <w:r w:rsidR="00917F6A">
        <w:rPr>
          <w:b/>
          <w:szCs w:val="21"/>
        </w:rPr>
        <w:t>.</w:t>
      </w:r>
    </w:p>
    <w:p w:rsidR="007E0855" w:rsidRDefault="007E0855" w:rsidP="007E0855">
      <w:pPr>
        <w:autoSpaceDE w:val="0"/>
        <w:autoSpaceDN w:val="0"/>
        <w:adjustRightInd w:val="0"/>
        <w:ind w:left="720"/>
        <w:rPr>
          <w:b/>
          <w:szCs w:val="21"/>
          <w:lang w:val="en-US"/>
        </w:rPr>
      </w:pPr>
    </w:p>
    <w:p w:rsidR="007E0855" w:rsidRDefault="007E0855" w:rsidP="007E0855">
      <w:pPr>
        <w:autoSpaceDE w:val="0"/>
        <w:autoSpaceDN w:val="0"/>
        <w:adjustRightInd w:val="0"/>
        <w:ind w:left="360"/>
        <w:rPr>
          <w:bCs/>
          <w:szCs w:val="21"/>
        </w:rPr>
      </w:pPr>
      <w:r>
        <w:t xml:space="preserve">Komisja zamierza: </w:t>
      </w:r>
    </w:p>
    <w:p w:rsidR="007E0855" w:rsidRDefault="007E0855" w:rsidP="007E0855">
      <w:pPr>
        <w:autoSpaceDE w:val="0"/>
        <w:autoSpaceDN w:val="0"/>
        <w:adjustRightInd w:val="0"/>
        <w:ind w:left="360" w:firstLine="348"/>
        <w:rPr>
          <w:bCs/>
          <w:szCs w:val="21"/>
        </w:rPr>
      </w:pPr>
      <w:r>
        <w:t xml:space="preserve">1. dążyć do przyjęcia pierwszego zbioru reform WTO odnoszących się w szczególności do zwiększenia wkładu WTO na rzecz zrównoważonego rozwoju oraz rozpocząć negocjacje w sprawie zaostrzonych zasad służących zapobieganiu zakłóceniom konkurencji ze względu na interwencję państwa. Komisja nada pierwszeństwo zacieśnieniu współpracy transatlantyckiej w zakresie reformy WTO; </w:t>
      </w:r>
    </w:p>
    <w:p w:rsidR="007E0855" w:rsidRPr="007507DE" w:rsidRDefault="007E0855" w:rsidP="007E0855">
      <w:pPr>
        <w:autoSpaceDE w:val="0"/>
        <w:autoSpaceDN w:val="0"/>
        <w:adjustRightInd w:val="0"/>
        <w:ind w:left="360" w:firstLine="348"/>
        <w:rPr>
          <w:b/>
          <w:szCs w:val="21"/>
        </w:rPr>
      </w:pPr>
      <w:r>
        <w:t>2. pracować nad przywróceniem w pełni sprawnego systemu rozstrzygania sporów WTO obejmującego zreformowany Organ Apelacyjny.</w:t>
      </w:r>
    </w:p>
    <w:p w:rsidR="007E0855" w:rsidRPr="00917F6A" w:rsidRDefault="007E0855" w:rsidP="007E0855">
      <w:pPr>
        <w:autoSpaceDE w:val="0"/>
        <w:autoSpaceDN w:val="0"/>
        <w:adjustRightInd w:val="0"/>
        <w:ind w:left="360"/>
        <w:rPr>
          <w:bCs/>
          <w:szCs w:val="21"/>
        </w:rPr>
      </w:pPr>
    </w:p>
    <w:p w:rsidR="007E0855" w:rsidRDefault="007E0855" w:rsidP="007E0855">
      <w:pPr>
        <w:numPr>
          <w:ilvl w:val="0"/>
          <w:numId w:val="2"/>
        </w:numPr>
        <w:autoSpaceDE w:val="0"/>
        <w:autoSpaceDN w:val="0"/>
        <w:adjustRightInd w:val="0"/>
        <w:rPr>
          <w:b/>
          <w:szCs w:val="21"/>
        </w:rPr>
      </w:pPr>
      <w:r>
        <w:rPr>
          <w:b/>
          <w:szCs w:val="21"/>
        </w:rPr>
        <w:t>Wspieranie zielonej transformacji oraz promowanie odpowiedzialnych i zrównoważonych łańcuchów wartości.</w:t>
      </w:r>
    </w:p>
    <w:p w:rsidR="007E0855" w:rsidRPr="00917F6A" w:rsidRDefault="007E0855" w:rsidP="007E0855">
      <w:pPr>
        <w:autoSpaceDE w:val="0"/>
        <w:autoSpaceDN w:val="0"/>
        <w:adjustRightInd w:val="0"/>
        <w:rPr>
          <w:b/>
          <w:szCs w:val="21"/>
        </w:rPr>
      </w:pPr>
    </w:p>
    <w:p w:rsidR="007E0855" w:rsidRPr="007507DE" w:rsidRDefault="007E0855" w:rsidP="007E0855">
      <w:pPr>
        <w:autoSpaceDE w:val="0"/>
        <w:autoSpaceDN w:val="0"/>
        <w:adjustRightInd w:val="0"/>
        <w:rPr>
          <w:bCs/>
          <w:szCs w:val="21"/>
          <w:u w:val="single"/>
        </w:rPr>
      </w:pPr>
      <w:r>
        <w:rPr>
          <w:bCs/>
          <w:szCs w:val="21"/>
          <w:u w:val="single"/>
        </w:rPr>
        <w:t xml:space="preserve">Komisja zamierza: </w:t>
      </w:r>
    </w:p>
    <w:p w:rsidR="007E0855" w:rsidRPr="00917F6A" w:rsidRDefault="007E0855" w:rsidP="007E0855">
      <w:pPr>
        <w:autoSpaceDE w:val="0"/>
        <w:autoSpaceDN w:val="0"/>
        <w:adjustRightInd w:val="0"/>
        <w:rPr>
          <w:b/>
          <w:szCs w:val="21"/>
        </w:rPr>
      </w:pPr>
    </w:p>
    <w:p w:rsidR="007E0855" w:rsidRDefault="007E0855" w:rsidP="007E0855">
      <w:pPr>
        <w:autoSpaceDE w:val="0"/>
        <w:autoSpaceDN w:val="0"/>
        <w:adjustRightInd w:val="0"/>
        <w:rPr>
          <w:b/>
          <w:szCs w:val="21"/>
          <w:u w:val="single"/>
        </w:rPr>
      </w:pPr>
      <w:r>
        <w:rPr>
          <w:b/>
          <w:szCs w:val="21"/>
        </w:rPr>
        <w:t xml:space="preserve">3. </w:t>
      </w:r>
      <w:r>
        <w:t xml:space="preserve">podjąć inicjatywy i działania służące </w:t>
      </w:r>
      <w:r>
        <w:rPr>
          <w:bCs/>
          <w:szCs w:val="21"/>
          <w:u w:val="single"/>
        </w:rPr>
        <w:t>promowaniu aspektów dotyczących klimatu i zrównoważoności w WTO;</w:t>
      </w:r>
    </w:p>
    <w:p w:rsidR="007E0855" w:rsidRPr="00917F6A" w:rsidRDefault="007E0855" w:rsidP="007E0855">
      <w:pPr>
        <w:autoSpaceDE w:val="0"/>
        <w:autoSpaceDN w:val="0"/>
        <w:adjustRightInd w:val="0"/>
        <w:rPr>
          <w:b/>
          <w:szCs w:val="21"/>
          <w:u w:val="single"/>
        </w:rPr>
      </w:pPr>
    </w:p>
    <w:p w:rsidR="007E0855" w:rsidRDefault="007E0855" w:rsidP="007E0855">
      <w:pPr>
        <w:autoSpaceDE w:val="0"/>
        <w:autoSpaceDN w:val="0"/>
        <w:adjustRightInd w:val="0"/>
        <w:rPr>
          <w:b/>
          <w:szCs w:val="21"/>
        </w:rPr>
      </w:pPr>
      <w:r>
        <w:rPr>
          <w:b/>
          <w:szCs w:val="21"/>
        </w:rPr>
        <w:t xml:space="preserve">4. </w:t>
      </w:r>
      <w:r>
        <w:t>dążyć do podjęcia przez partnerów z grupy G-20 zobowiązań dotyczących neutralności klimatycznej, zacieśniać współpracę w zakresie innych aspektów zielonego ładu, takich jak różnorodność biologiczna, zrównoważona polityka żywnościowa, zanieczyszczenie i gospodarka o obiegu zamkniętym, oraz zaproponować, aby przestrzeganie porozumienia paryskiego było istotnym elementem wszystkich przyszłych umów;</w:t>
      </w:r>
      <w:r>
        <w:rPr>
          <w:b/>
          <w:szCs w:val="21"/>
        </w:rPr>
        <w:t xml:space="preserve"> </w:t>
      </w:r>
    </w:p>
    <w:p w:rsidR="007E0855" w:rsidRPr="00917F6A" w:rsidRDefault="007E0855" w:rsidP="007E0855">
      <w:pPr>
        <w:autoSpaceDE w:val="0"/>
        <w:autoSpaceDN w:val="0"/>
        <w:adjustRightInd w:val="0"/>
        <w:rPr>
          <w:b/>
          <w:szCs w:val="21"/>
        </w:rPr>
      </w:pPr>
    </w:p>
    <w:p w:rsidR="007E0855" w:rsidRDefault="007E0855" w:rsidP="007E0855">
      <w:pPr>
        <w:autoSpaceDE w:val="0"/>
        <w:autoSpaceDN w:val="0"/>
        <w:adjustRightInd w:val="0"/>
        <w:rPr>
          <w:b/>
          <w:szCs w:val="21"/>
        </w:rPr>
      </w:pPr>
      <w:r>
        <w:rPr>
          <w:b/>
          <w:szCs w:val="21"/>
        </w:rPr>
        <w:t xml:space="preserve">5. </w:t>
      </w:r>
      <w:r>
        <w:rPr>
          <w:bCs/>
          <w:szCs w:val="21"/>
          <w:u w:val="single"/>
        </w:rPr>
        <w:t>poprawić skuteczne wykonywanie i egzekwowanie rozdziałów dotyczących zrównoważonego rozwoju zawartych w umowach handlowych</w:t>
      </w:r>
      <w:r>
        <w:t xml:space="preserve"> za pośrednictwem wczesnego przeglądu w 2021 r. 15-punktowego planu działania. Wyniki przeglądu zostaną uwzględnione w prowadzonych obecnie negocjacjach oraz będą uwzględniane w negocjacjach w przyszłości;</w:t>
      </w:r>
    </w:p>
    <w:p w:rsidR="007E0855" w:rsidRPr="00917F6A" w:rsidRDefault="007E0855" w:rsidP="007E0855">
      <w:pPr>
        <w:autoSpaceDE w:val="0"/>
        <w:autoSpaceDN w:val="0"/>
        <w:adjustRightInd w:val="0"/>
        <w:rPr>
          <w:b/>
          <w:szCs w:val="21"/>
        </w:rPr>
      </w:pPr>
    </w:p>
    <w:p w:rsidR="007E0855" w:rsidRPr="007507DE" w:rsidRDefault="007E0855" w:rsidP="007E0855">
      <w:pPr>
        <w:autoSpaceDE w:val="0"/>
        <w:autoSpaceDN w:val="0"/>
        <w:adjustRightInd w:val="0"/>
        <w:rPr>
          <w:bCs/>
          <w:szCs w:val="21"/>
        </w:rPr>
      </w:pPr>
      <w:r>
        <w:rPr>
          <w:b/>
          <w:szCs w:val="21"/>
        </w:rPr>
        <w:t xml:space="preserve">6. </w:t>
      </w:r>
      <w:r>
        <w:t>Promować zrównoważone i odpowiedzialne łańcuchy wartości za sprawą wniosku dotyczącego obowiązkowej należytej staranności, w tym skuteczne mechanizmy działania i egzekwowania w celu zapewnienia, aby w łańcuchach wartości unijnych przedsiębiorstw nie było miejsca dla pracy przymusowej. W czasie, który pozostał do wejścia w życie wiążących przepisów, Komisja przedstawi wytyczne mające pomóc unijnym przedsiębiorstwom we wprowadzeniu odpowiednich środków już teraz, zgodnie z międzynarodowymi wytycznymi i zasadami należytej staranności.</w:t>
      </w:r>
    </w:p>
    <w:p w:rsidR="007E0855" w:rsidRPr="00917F6A" w:rsidRDefault="007E0855" w:rsidP="007E0855">
      <w:pPr>
        <w:autoSpaceDE w:val="0"/>
        <w:autoSpaceDN w:val="0"/>
        <w:adjustRightInd w:val="0"/>
        <w:rPr>
          <w:b/>
          <w:szCs w:val="21"/>
        </w:rPr>
      </w:pPr>
    </w:p>
    <w:p w:rsidR="007E0855" w:rsidRDefault="007E0855" w:rsidP="007E0855">
      <w:pPr>
        <w:numPr>
          <w:ilvl w:val="0"/>
          <w:numId w:val="2"/>
        </w:numPr>
        <w:autoSpaceDE w:val="0"/>
        <w:autoSpaceDN w:val="0"/>
        <w:adjustRightInd w:val="0"/>
        <w:rPr>
          <w:b/>
          <w:szCs w:val="21"/>
        </w:rPr>
      </w:pPr>
      <w:r>
        <w:rPr>
          <w:b/>
          <w:szCs w:val="21"/>
        </w:rPr>
        <w:t>Wspieranie transformacji cyfrowej i handlu usługami.</w:t>
      </w:r>
    </w:p>
    <w:p w:rsidR="007E0855" w:rsidRPr="00917F6A" w:rsidRDefault="007E0855" w:rsidP="007E0855">
      <w:pPr>
        <w:autoSpaceDE w:val="0"/>
        <w:autoSpaceDN w:val="0"/>
        <w:adjustRightInd w:val="0"/>
        <w:rPr>
          <w:b/>
          <w:szCs w:val="21"/>
        </w:rPr>
      </w:pPr>
    </w:p>
    <w:p w:rsidR="007E0855" w:rsidRDefault="007E0855" w:rsidP="007E0855">
      <w:pPr>
        <w:autoSpaceDE w:val="0"/>
        <w:autoSpaceDN w:val="0"/>
        <w:adjustRightInd w:val="0"/>
        <w:rPr>
          <w:bCs/>
          <w:szCs w:val="21"/>
        </w:rPr>
      </w:pPr>
      <w:r>
        <w:lastRenderedPageBreak/>
        <w:t xml:space="preserve">Komisja zamierza: </w:t>
      </w:r>
    </w:p>
    <w:p w:rsidR="007E0855" w:rsidRPr="00917F6A" w:rsidRDefault="007E0855" w:rsidP="007E0855">
      <w:pPr>
        <w:autoSpaceDE w:val="0"/>
        <w:autoSpaceDN w:val="0"/>
        <w:adjustRightInd w:val="0"/>
        <w:rPr>
          <w:bCs/>
          <w:szCs w:val="21"/>
        </w:rPr>
      </w:pPr>
    </w:p>
    <w:p w:rsidR="007E0855" w:rsidRDefault="007E0855" w:rsidP="007E0855">
      <w:pPr>
        <w:autoSpaceDE w:val="0"/>
        <w:autoSpaceDN w:val="0"/>
        <w:adjustRightInd w:val="0"/>
        <w:rPr>
          <w:b/>
          <w:szCs w:val="21"/>
        </w:rPr>
      </w:pPr>
      <w:r>
        <w:rPr>
          <w:b/>
          <w:szCs w:val="21"/>
        </w:rPr>
        <w:t xml:space="preserve">7. </w:t>
      </w:r>
      <w:r>
        <w:t xml:space="preserve">dążyć do szybkiego zawarcia ambitnej i kompleksowej umowy z WTO o handlu cyfrowym, obejmującej zasady przepływu danych w pełni zgodne z unijnymi ramami ochrony danych oraz postanowienia dotyczące zwiększenia zaufania konsumentów zapewniające wysoki poziom ochrony konsumentów; </w:t>
      </w:r>
      <w:r>
        <w:rPr>
          <w:b/>
          <w:szCs w:val="21"/>
        </w:rPr>
        <w:t xml:space="preserve"> </w:t>
      </w:r>
    </w:p>
    <w:p w:rsidR="007E0855" w:rsidRPr="00917F6A" w:rsidRDefault="007E0855" w:rsidP="007E0855">
      <w:pPr>
        <w:autoSpaceDE w:val="0"/>
        <w:autoSpaceDN w:val="0"/>
        <w:adjustRightInd w:val="0"/>
        <w:rPr>
          <w:b/>
          <w:szCs w:val="21"/>
        </w:rPr>
      </w:pPr>
    </w:p>
    <w:p w:rsidR="007E0855" w:rsidRDefault="007E0855" w:rsidP="007E0855">
      <w:pPr>
        <w:autoSpaceDE w:val="0"/>
        <w:autoSpaceDN w:val="0"/>
        <w:adjustRightInd w:val="0"/>
        <w:rPr>
          <w:b/>
          <w:szCs w:val="21"/>
        </w:rPr>
      </w:pPr>
      <w:r>
        <w:rPr>
          <w:b/>
          <w:szCs w:val="21"/>
        </w:rPr>
        <w:t xml:space="preserve">8. </w:t>
      </w:r>
      <w:r>
        <w:t>zbadać możliwość ściślejszej współpracy regulacyjnej w kwestiach istotnych dla handlu cyfrowego prowadzonej z głównymi partnerami handlowymi o podobnych poglądach.</w:t>
      </w:r>
    </w:p>
    <w:p w:rsidR="007E0855" w:rsidRPr="00917F6A" w:rsidRDefault="007E0855" w:rsidP="007E0855">
      <w:pPr>
        <w:autoSpaceDE w:val="0"/>
        <w:autoSpaceDN w:val="0"/>
        <w:adjustRightInd w:val="0"/>
        <w:rPr>
          <w:b/>
          <w:szCs w:val="21"/>
        </w:rPr>
      </w:pPr>
    </w:p>
    <w:p w:rsidR="007E0855" w:rsidRDefault="007E0855" w:rsidP="007E0855">
      <w:pPr>
        <w:numPr>
          <w:ilvl w:val="0"/>
          <w:numId w:val="2"/>
        </w:numPr>
        <w:autoSpaceDE w:val="0"/>
        <w:autoSpaceDN w:val="0"/>
        <w:adjustRightInd w:val="0"/>
        <w:rPr>
          <w:b/>
          <w:szCs w:val="21"/>
        </w:rPr>
      </w:pPr>
      <w:r>
        <w:rPr>
          <w:b/>
          <w:szCs w:val="21"/>
        </w:rPr>
        <w:t>Zwiększenie regulacyjnego wpływu UE.</w:t>
      </w:r>
    </w:p>
    <w:p w:rsidR="007E0855" w:rsidRDefault="007E0855" w:rsidP="007E0855">
      <w:pPr>
        <w:autoSpaceDE w:val="0"/>
        <w:autoSpaceDN w:val="0"/>
        <w:adjustRightInd w:val="0"/>
        <w:rPr>
          <w:b/>
          <w:szCs w:val="21"/>
          <w:lang w:val="en-US"/>
        </w:rPr>
      </w:pPr>
    </w:p>
    <w:p w:rsidR="007E0855" w:rsidRDefault="007E0855" w:rsidP="007E0855">
      <w:pPr>
        <w:autoSpaceDE w:val="0"/>
        <w:autoSpaceDN w:val="0"/>
        <w:adjustRightInd w:val="0"/>
        <w:rPr>
          <w:bCs/>
          <w:szCs w:val="21"/>
        </w:rPr>
      </w:pPr>
      <w:r>
        <w:t xml:space="preserve">Komisja zamierza: </w:t>
      </w:r>
    </w:p>
    <w:p w:rsidR="007E0855" w:rsidRDefault="007E0855" w:rsidP="007E0855">
      <w:pPr>
        <w:autoSpaceDE w:val="0"/>
        <w:autoSpaceDN w:val="0"/>
        <w:adjustRightInd w:val="0"/>
        <w:rPr>
          <w:bCs/>
          <w:szCs w:val="21"/>
          <w:lang w:val="en-US"/>
        </w:rPr>
      </w:pPr>
    </w:p>
    <w:p w:rsidR="007E0855" w:rsidRPr="00807594" w:rsidRDefault="007E0855" w:rsidP="007E0855">
      <w:pPr>
        <w:autoSpaceDE w:val="0"/>
        <w:autoSpaceDN w:val="0"/>
        <w:adjustRightInd w:val="0"/>
        <w:rPr>
          <w:bCs/>
          <w:szCs w:val="21"/>
        </w:rPr>
      </w:pPr>
      <w:r>
        <w:rPr>
          <w:b/>
          <w:szCs w:val="21"/>
        </w:rPr>
        <w:t>9.</w:t>
      </w:r>
      <w:r>
        <w:t xml:space="preserve"> </w:t>
      </w:r>
      <w:r>
        <w:rPr>
          <w:bCs/>
          <w:szCs w:val="21"/>
          <w:u w:val="single"/>
        </w:rPr>
        <w:t>pogłębić dialog regulacyjny z podobnie myślącymi partnerami w obszarach strategicznych dla konkurencyjności UE</w:t>
      </w:r>
      <w:r w:rsidR="00C23061">
        <w:rPr>
          <w:bCs/>
          <w:szCs w:val="21"/>
          <w:u w:val="single"/>
        </w:rPr>
        <w:t>.</w:t>
      </w:r>
      <w:r>
        <w:t xml:space="preserve"> Będzie to wymagać określenia na wczesnym etapie priorytetowych obszarów współpracy regulacyjnej oraz pogłębienia dialogu z unijnymi i międzynarodowymi organizacjami normalizacyjnymi</w:t>
      </w:r>
      <w:r w:rsidR="00C23061">
        <w:t>.</w:t>
      </w:r>
      <w:r>
        <w:t xml:space="preserve"> </w:t>
      </w:r>
      <w:r>
        <w:rPr>
          <w:bCs/>
          <w:szCs w:val="21"/>
          <w:u w:val="single"/>
        </w:rPr>
        <w:t>Współpraca ze Stanami Zjednoczonymi będzie miała kluczowe znaczenie dla zapewnienia zgodności nowych regulacji z wartościami demokratycznych, otwart</w:t>
      </w:r>
      <w:r w:rsidR="00C23061">
        <w:rPr>
          <w:bCs/>
          <w:szCs w:val="21"/>
          <w:u w:val="single"/>
        </w:rPr>
        <w:t xml:space="preserve">ych i </w:t>
      </w:r>
      <w:proofErr w:type="spellStart"/>
      <w:r w:rsidR="00C23061">
        <w:rPr>
          <w:bCs/>
          <w:szCs w:val="21"/>
          <w:u w:val="single"/>
        </w:rPr>
        <w:t>inkluzywnych</w:t>
      </w:r>
      <w:proofErr w:type="spellEnd"/>
      <w:r w:rsidR="00C23061">
        <w:rPr>
          <w:bCs/>
          <w:szCs w:val="21"/>
          <w:u w:val="single"/>
        </w:rPr>
        <w:t xml:space="preserve"> społeczeństw;</w:t>
      </w:r>
    </w:p>
    <w:p w:rsidR="007E0855" w:rsidRPr="00917F6A" w:rsidRDefault="007E0855" w:rsidP="007E0855">
      <w:pPr>
        <w:autoSpaceDE w:val="0"/>
        <w:autoSpaceDN w:val="0"/>
        <w:adjustRightInd w:val="0"/>
        <w:rPr>
          <w:bCs/>
          <w:szCs w:val="21"/>
        </w:rPr>
      </w:pPr>
    </w:p>
    <w:p w:rsidR="007E0855" w:rsidRPr="007507DE" w:rsidRDefault="007E0855" w:rsidP="007E0855">
      <w:pPr>
        <w:autoSpaceDE w:val="0"/>
        <w:autoSpaceDN w:val="0"/>
        <w:adjustRightInd w:val="0"/>
        <w:rPr>
          <w:bCs/>
          <w:szCs w:val="21"/>
        </w:rPr>
      </w:pPr>
      <w:r>
        <w:rPr>
          <w:b/>
          <w:szCs w:val="21"/>
        </w:rPr>
        <w:t>10.</w:t>
      </w:r>
      <w:r>
        <w:t xml:space="preserve"> rozwijać transatlantyckie partnerstwo w dziedzinie transformacji ekologicznej i cyfrowej naszych gospodarek, m.in. za pośrednictwem Rady UE-USA ds. Handlu i Technologii.</w:t>
      </w:r>
    </w:p>
    <w:p w:rsidR="007E0855" w:rsidRDefault="007E0855" w:rsidP="007E0855">
      <w:pPr>
        <w:autoSpaceDE w:val="0"/>
        <w:autoSpaceDN w:val="0"/>
        <w:adjustRightInd w:val="0"/>
        <w:rPr>
          <w:b/>
          <w:szCs w:val="21"/>
          <w:lang w:val="en-US"/>
        </w:rPr>
      </w:pPr>
    </w:p>
    <w:p w:rsidR="007E0855" w:rsidRPr="00D14289" w:rsidRDefault="007E0855" w:rsidP="007E0855">
      <w:pPr>
        <w:autoSpaceDE w:val="0"/>
        <w:autoSpaceDN w:val="0"/>
        <w:adjustRightInd w:val="0"/>
        <w:rPr>
          <w:b/>
          <w:szCs w:val="21"/>
          <w:lang w:val="en-US"/>
        </w:rPr>
      </w:pPr>
    </w:p>
    <w:p w:rsidR="007E0855" w:rsidRPr="00D14289" w:rsidRDefault="007E0855" w:rsidP="007E0855">
      <w:pPr>
        <w:numPr>
          <w:ilvl w:val="0"/>
          <w:numId w:val="2"/>
        </w:numPr>
        <w:autoSpaceDE w:val="0"/>
        <w:autoSpaceDN w:val="0"/>
        <w:adjustRightInd w:val="0"/>
        <w:rPr>
          <w:b/>
          <w:szCs w:val="21"/>
        </w:rPr>
      </w:pPr>
      <w:r>
        <w:rPr>
          <w:b/>
          <w:szCs w:val="21"/>
        </w:rPr>
        <w:t>Umocnienie partnerstw UE z krajami sąsiadującymi, krajami objętymi procesem rozszerzenia i Afryką.</w:t>
      </w:r>
    </w:p>
    <w:p w:rsidR="007E0855" w:rsidRPr="00917F6A" w:rsidRDefault="007E0855" w:rsidP="007E0855">
      <w:pPr>
        <w:autoSpaceDE w:val="0"/>
        <w:autoSpaceDN w:val="0"/>
        <w:adjustRightInd w:val="0"/>
        <w:jc w:val="center"/>
        <w:rPr>
          <w:b/>
          <w:szCs w:val="21"/>
        </w:rPr>
      </w:pPr>
    </w:p>
    <w:p w:rsidR="007E0855" w:rsidRDefault="007E0855" w:rsidP="007E0855">
      <w:pPr>
        <w:autoSpaceDE w:val="0"/>
        <w:autoSpaceDN w:val="0"/>
        <w:adjustRightInd w:val="0"/>
        <w:rPr>
          <w:bCs/>
          <w:szCs w:val="21"/>
        </w:rPr>
      </w:pPr>
      <w:r>
        <w:t xml:space="preserve">Komisja zamierza: </w:t>
      </w:r>
    </w:p>
    <w:p w:rsidR="007E0855" w:rsidRPr="00917F6A" w:rsidRDefault="007E0855" w:rsidP="007E0855">
      <w:pPr>
        <w:autoSpaceDE w:val="0"/>
        <w:autoSpaceDN w:val="0"/>
        <w:adjustRightInd w:val="0"/>
        <w:rPr>
          <w:bCs/>
          <w:szCs w:val="21"/>
        </w:rPr>
      </w:pPr>
    </w:p>
    <w:p w:rsidR="007E0855" w:rsidRDefault="007E0855" w:rsidP="007E0855">
      <w:pPr>
        <w:autoSpaceDE w:val="0"/>
        <w:autoSpaceDN w:val="0"/>
        <w:adjustRightInd w:val="0"/>
        <w:rPr>
          <w:bCs/>
          <w:szCs w:val="21"/>
        </w:rPr>
      </w:pPr>
      <w:r>
        <w:rPr>
          <w:b/>
          <w:szCs w:val="21"/>
        </w:rPr>
        <w:t>11.</w:t>
      </w:r>
      <w:r>
        <w:t xml:space="preserve"> pogłębić stosunki handlowe i gospodarcze z innymi państwami w Europie, w tym z Bałkanami Zachodnimi i krajami, które przystąpiły do DCFTA z UE, skupiając się w szczególności na ściślejszej współpracy regulacyjnej w celu wsparcia transformacji ekologicznej i cyfrowej; Komisja odnowi swoje stosunki handlowe i inwestycyjne z tymi państwami południowego sąsiedztwa, które są zainteresowane bliższą integracją z Unią Europejską; </w:t>
      </w:r>
    </w:p>
    <w:p w:rsidR="007E0855" w:rsidRPr="00917F6A" w:rsidRDefault="007E0855" w:rsidP="007E0855">
      <w:pPr>
        <w:autoSpaceDE w:val="0"/>
        <w:autoSpaceDN w:val="0"/>
        <w:adjustRightInd w:val="0"/>
        <w:rPr>
          <w:bCs/>
          <w:szCs w:val="21"/>
        </w:rPr>
      </w:pPr>
    </w:p>
    <w:p w:rsidR="007E0855" w:rsidRDefault="007E0855" w:rsidP="007E0855">
      <w:pPr>
        <w:autoSpaceDE w:val="0"/>
        <w:autoSpaceDN w:val="0"/>
        <w:adjustRightInd w:val="0"/>
        <w:rPr>
          <w:bCs/>
          <w:szCs w:val="21"/>
        </w:rPr>
      </w:pPr>
      <w:r>
        <w:rPr>
          <w:b/>
          <w:szCs w:val="21"/>
        </w:rPr>
        <w:t>12.</w:t>
      </w:r>
      <w:r>
        <w:t xml:space="preserve"> zwiększyć swoje zaangażowanie we współpracę z państwami afrykańskimi poprzez: </w:t>
      </w:r>
    </w:p>
    <w:p w:rsidR="007E0855" w:rsidRDefault="007E0855" w:rsidP="007E0855">
      <w:pPr>
        <w:autoSpaceDE w:val="0"/>
        <w:autoSpaceDN w:val="0"/>
        <w:adjustRightInd w:val="0"/>
        <w:ind w:firstLine="708"/>
        <w:rPr>
          <w:bCs/>
          <w:szCs w:val="21"/>
        </w:rPr>
      </w:pPr>
      <w:r>
        <w:t xml:space="preserve">a) zintensyfikowanie dialogu politycznego i współpracy z Unią Afrykańską oraz jej członkami, a także sprawne wdrażanie </w:t>
      </w:r>
      <w:proofErr w:type="spellStart"/>
      <w:r>
        <w:t>AfCFTA</w:t>
      </w:r>
      <w:proofErr w:type="spellEnd"/>
      <w:r>
        <w:t>, w tym zaangażowanie sektora prywatnego oraz promowanie wspólnych standardów w Afryce w celu pogłębienia integracji regionalnej i kontynentalnej;</w:t>
      </w:r>
    </w:p>
    <w:p w:rsidR="007E0855" w:rsidRDefault="007E0855" w:rsidP="007E0855">
      <w:pPr>
        <w:autoSpaceDE w:val="0"/>
        <w:autoSpaceDN w:val="0"/>
        <w:adjustRightInd w:val="0"/>
        <w:ind w:firstLine="708"/>
        <w:rPr>
          <w:bCs/>
          <w:szCs w:val="21"/>
        </w:rPr>
      </w:pPr>
      <w:r>
        <w:t xml:space="preserve"> b) pogłębienie i rozszerzenie istniejących umów handlowych z afrykańskimi regionalnymi wspólnotami gospodarczymi oraz wzmocnienie ich zrównoważonego charakteru; </w:t>
      </w:r>
    </w:p>
    <w:p w:rsidR="007E0855" w:rsidRDefault="007E0855" w:rsidP="007E0855">
      <w:pPr>
        <w:autoSpaceDE w:val="0"/>
        <w:autoSpaceDN w:val="0"/>
        <w:adjustRightInd w:val="0"/>
        <w:ind w:firstLine="708"/>
        <w:rPr>
          <w:bCs/>
          <w:szCs w:val="21"/>
        </w:rPr>
      </w:pPr>
      <w:r>
        <w:t>c) dalsze badanie możliwości wzmocnienia powiązań i synergii między różnymi uzgodnieniami handlowymi z państwami afrykańskimi, np. poprzez bardziej ujednolicone reguły pochodzenia w handlu z UE;</w:t>
      </w:r>
    </w:p>
    <w:p w:rsidR="007E0855" w:rsidRDefault="007E0855" w:rsidP="007E0855">
      <w:pPr>
        <w:autoSpaceDE w:val="0"/>
        <w:autoSpaceDN w:val="0"/>
        <w:adjustRightInd w:val="0"/>
        <w:ind w:firstLine="708"/>
        <w:rPr>
          <w:bCs/>
          <w:szCs w:val="21"/>
        </w:rPr>
      </w:pPr>
      <w:r>
        <w:t>d) dążenie do zawarcia umów dotyczących zrównoważonych inwestycji z Afryką i południowym sąsiedztwem.</w:t>
      </w:r>
    </w:p>
    <w:p w:rsidR="007E0855" w:rsidRPr="00917F6A" w:rsidRDefault="007E0855" w:rsidP="007E0855">
      <w:pPr>
        <w:autoSpaceDE w:val="0"/>
        <w:autoSpaceDN w:val="0"/>
        <w:adjustRightInd w:val="0"/>
        <w:rPr>
          <w:bCs/>
          <w:szCs w:val="21"/>
        </w:rPr>
      </w:pPr>
    </w:p>
    <w:p w:rsidR="007E0855" w:rsidRDefault="007E0855" w:rsidP="007E0855">
      <w:pPr>
        <w:numPr>
          <w:ilvl w:val="0"/>
          <w:numId w:val="2"/>
        </w:numPr>
        <w:autoSpaceDE w:val="0"/>
        <w:autoSpaceDN w:val="0"/>
        <w:adjustRightInd w:val="0"/>
        <w:rPr>
          <w:b/>
          <w:szCs w:val="21"/>
        </w:rPr>
      </w:pPr>
      <w:r>
        <w:rPr>
          <w:b/>
          <w:szCs w:val="21"/>
        </w:rPr>
        <w:t>Większy nacisk na wdrożenie i egzekwowanie umów handlowych oraz zapewnienie równych szans</w:t>
      </w:r>
      <w:r w:rsidR="00C23061">
        <w:rPr>
          <w:b/>
          <w:szCs w:val="21"/>
        </w:rPr>
        <w:t>.</w:t>
      </w:r>
    </w:p>
    <w:p w:rsidR="007E0855" w:rsidRPr="00917F6A" w:rsidRDefault="007E0855" w:rsidP="007E0855">
      <w:pPr>
        <w:autoSpaceDE w:val="0"/>
        <w:autoSpaceDN w:val="0"/>
        <w:adjustRightInd w:val="0"/>
        <w:rPr>
          <w:b/>
          <w:szCs w:val="21"/>
        </w:rPr>
      </w:pPr>
    </w:p>
    <w:p w:rsidR="007E0855" w:rsidRDefault="007E0855" w:rsidP="007E0855">
      <w:pPr>
        <w:autoSpaceDE w:val="0"/>
        <w:autoSpaceDN w:val="0"/>
        <w:adjustRightInd w:val="0"/>
        <w:rPr>
          <w:bCs/>
          <w:szCs w:val="21"/>
        </w:rPr>
      </w:pPr>
      <w:r>
        <w:t xml:space="preserve">Komisja zamierza: </w:t>
      </w:r>
    </w:p>
    <w:p w:rsidR="007E0855" w:rsidRPr="00917F6A" w:rsidRDefault="007E0855" w:rsidP="007E0855">
      <w:pPr>
        <w:autoSpaceDE w:val="0"/>
        <w:autoSpaceDN w:val="0"/>
        <w:adjustRightInd w:val="0"/>
        <w:rPr>
          <w:bCs/>
          <w:szCs w:val="21"/>
        </w:rPr>
      </w:pPr>
    </w:p>
    <w:p w:rsidR="007E0855" w:rsidRDefault="007E0855" w:rsidP="007E0855">
      <w:pPr>
        <w:autoSpaceDE w:val="0"/>
        <w:autoSpaceDN w:val="0"/>
        <w:adjustRightInd w:val="0"/>
        <w:rPr>
          <w:bCs/>
          <w:szCs w:val="21"/>
        </w:rPr>
      </w:pPr>
      <w:r>
        <w:rPr>
          <w:b/>
          <w:szCs w:val="21"/>
        </w:rPr>
        <w:t>13.</w:t>
      </w:r>
      <w:r>
        <w:t xml:space="preserve"> </w:t>
      </w:r>
      <w:r>
        <w:rPr>
          <w:bCs/>
          <w:szCs w:val="21"/>
          <w:u w:val="single"/>
        </w:rPr>
        <w:t>dążyć do utrwalenia partnerstw UE z kluczowymi regionami wzrostu – w regionie Azji i Pacyfiku oraz w Ameryce Łacińskiej – poprzez stworzenie warunków do zakończenia negocjacji i ratyfikacji zaległych umów dwustronnych;</w:t>
      </w:r>
      <w:r>
        <w:t xml:space="preserve"> </w:t>
      </w:r>
    </w:p>
    <w:p w:rsidR="007E0855" w:rsidRPr="00917F6A" w:rsidRDefault="007E0855" w:rsidP="007E0855">
      <w:pPr>
        <w:autoSpaceDE w:val="0"/>
        <w:autoSpaceDN w:val="0"/>
        <w:adjustRightInd w:val="0"/>
        <w:rPr>
          <w:bCs/>
          <w:szCs w:val="21"/>
        </w:rPr>
      </w:pPr>
    </w:p>
    <w:p w:rsidR="007E0855" w:rsidRPr="007507DE" w:rsidRDefault="007E0855" w:rsidP="007E0855">
      <w:pPr>
        <w:autoSpaceDE w:val="0"/>
        <w:autoSpaceDN w:val="0"/>
        <w:adjustRightInd w:val="0"/>
        <w:rPr>
          <w:bCs/>
          <w:szCs w:val="21"/>
          <w:u w:val="single"/>
        </w:rPr>
      </w:pPr>
      <w:r>
        <w:t xml:space="preserve"> </w:t>
      </w:r>
      <w:r>
        <w:rPr>
          <w:b/>
          <w:szCs w:val="21"/>
        </w:rPr>
        <w:t>14.</w:t>
      </w:r>
      <w:r>
        <w:t xml:space="preserve"> </w:t>
      </w:r>
      <w:r>
        <w:rPr>
          <w:bCs/>
          <w:szCs w:val="21"/>
          <w:u w:val="single"/>
        </w:rPr>
        <w:t xml:space="preserve">wykorzystywać w pełni funkcję głównego urzędnika ds. egzekwowania przepisów handlowych, aby zmaksymalizować korzyści płynące z wynegocjowanych warunków dla przedsiębiorstw, w szczególności MŚP i rolników, oraz wyeliminować przeszkody, które negatywnie wpływają na potencjał umów w zakresie osiągania wyników, w tym na zrównoważony rozwój; </w:t>
      </w:r>
    </w:p>
    <w:p w:rsidR="007E0855" w:rsidRPr="00917F6A" w:rsidRDefault="007E0855" w:rsidP="007E0855">
      <w:pPr>
        <w:autoSpaceDE w:val="0"/>
        <w:autoSpaceDN w:val="0"/>
        <w:adjustRightInd w:val="0"/>
        <w:rPr>
          <w:bCs/>
          <w:szCs w:val="21"/>
        </w:rPr>
      </w:pPr>
    </w:p>
    <w:p w:rsidR="007E0855" w:rsidRDefault="007E0855" w:rsidP="007E0855">
      <w:pPr>
        <w:autoSpaceDE w:val="0"/>
        <w:autoSpaceDN w:val="0"/>
        <w:adjustRightInd w:val="0"/>
        <w:rPr>
          <w:bCs/>
          <w:szCs w:val="21"/>
        </w:rPr>
      </w:pPr>
      <w:r>
        <w:rPr>
          <w:b/>
          <w:szCs w:val="21"/>
        </w:rPr>
        <w:t>15</w:t>
      </w:r>
      <w:r>
        <w:t xml:space="preserve">. </w:t>
      </w:r>
      <w:r>
        <w:rPr>
          <w:bCs/>
          <w:szCs w:val="21"/>
          <w:u w:val="single"/>
        </w:rPr>
        <w:t>dalej wzmacniać narzędzia UE, aby sprostać nowym wyzwaniom oraz chronić europejskie przedsiębiorstwa i obywateli przed nieuczciwymi praktykami handlowymi, w tym poprzez przygotowanie instrumentu zapobiegającego środkom przymusu.</w:t>
      </w:r>
      <w:r>
        <w:t xml:space="preserve"> Ponadto Komisja zbada możliwości opracowania strategii UE dotyczącej kredytów eksportowych; </w:t>
      </w:r>
    </w:p>
    <w:p w:rsidR="007E0855" w:rsidRPr="00917F6A" w:rsidRDefault="007E0855" w:rsidP="007E0855">
      <w:pPr>
        <w:autoSpaceDE w:val="0"/>
        <w:autoSpaceDN w:val="0"/>
        <w:adjustRightInd w:val="0"/>
        <w:rPr>
          <w:bCs/>
          <w:szCs w:val="21"/>
        </w:rPr>
      </w:pPr>
    </w:p>
    <w:p w:rsidR="007E0855" w:rsidRPr="007507DE" w:rsidRDefault="007E0855" w:rsidP="007E0855">
      <w:pPr>
        <w:autoSpaceDE w:val="0"/>
        <w:autoSpaceDN w:val="0"/>
        <w:adjustRightInd w:val="0"/>
        <w:rPr>
          <w:bCs/>
          <w:szCs w:val="21"/>
        </w:rPr>
      </w:pPr>
      <w:r>
        <w:rPr>
          <w:b/>
          <w:szCs w:val="21"/>
        </w:rPr>
        <w:t>16.</w:t>
      </w:r>
      <w:r>
        <w:t xml:space="preserve"> opracować nowe narzędzia online służące wspieraniu unijnych przedsiębiorstw, szczególnie MŚP.</w:t>
      </w:r>
    </w:p>
    <w:p w:rsidR="007E0855" w:rsidRPr="00917F6A" w:rsidRDefault="007E0855" w:rsidP="007E0855">
      <w:pPr>
        <w:autoSpaceDE w:val="0"/>
        <w:autoSpaceDN w:val="0"/>
        <w:adjustRightInd w:val="0"/>
        <w:rPr>
          <w:b/>
          <w:szCs w:val="21"/>
        </w:rPr>
      </w:pPr>
    </w:p>
    <w:p w:rsidR="007E0855" w:rsidRPr="00917F6A" w:rsidRDefault="007E0855" w:rsidP="007E0855">
      <w:pPr>
        <w:autoSpaceDE w:val="0"/>
        <w:autoSpaceDN w:val="0"/>
        <w:adjustRightInd w:val="0"/>
        <w:jc w:val="center"/>
        <w:rPr>
          <w:b/>
          <w:szCs w:val="21"/>
        </w:rPr>
      </w:pPr>
    </w:p>
    <w:p w:rsidR="007E0855" w:rsidRPr="0005027A" w:rsidRDefault="007E0855" w:rsidP="007E0855">
      <w:pPr>
        <w:spacing w:after="200"/>
        <w:rPr>
          <w:b/>
          <w:bCs/>
          <w:szCs w:val="21"/>
        </w:rPr>
      </w:pPr>
      <w:r>
        <w:rPr>
          <w:b/>
          <w:bCs/>
          <w:szCs w:val="21"/>
        </w:rPr>
        <w:t>Wstępna ocena uwzględniająca nasze uwagi (BILAT(20)5455):</w:t>
      </w:r>
    </w:p>
    <w:p w:rsidR="007E0855" w:rsidRPr="00942B67" w:rsidRDefault="007E0855" w:rsidP="007E0855">
      <w:pPr>
        <w:spacing w:after="200"/>
        <w:rPr>
          <w:szCs w:val="21"/>
        </w:rPr>
      </w:pPr>
      <w:r>
        <w:t>Przegląd polityki handlowej jest ewolucją, a nie rewolucją.</w:t>
      </w:r>
    </w:p>
    <w:p w:rsidR="007E0855" w:rsidRPr="00B04AA3" w:rsidRDefault="007E0855" w:rsidP="00B04AA3">
      <w:pPr>
        <w:pStyle w:val="xmsolistparagraph"/>
        <w:numPr>
          <w:ilvl w:val="0"/>
          <w:numId w:val="4"/>
        </w:numPr>
        <w:shd w:val="clear" w:color="auto" w:fill="FFFFFF"/>
        <w:contextualSpacing/>
        <w:jc w:val="both"/>
        <w:rPr>
          <w:rFonts w:ascii="Georgia" w:hAnsi="Georgia" w:cs="Calibri"/>
          <w:b/>
          <w:bCs/>
          <w:color w:val="212121"/>
          <w:sz w:val="21"/>
          <w:szCs w:val="21"/>
        </w:rPr>
      </w:pPr>
      <w:r>
        <w:rPr>
          <w:rFonts w:ascii="Georgia" w:hAnsi="Georgia"/>
          <w:b/>
          <w:bCs/>
          <w:color w:val="212121"/>
          <w:sz w:val="21"/>
          <w:szCs w:val="21"/>
        </w:rPr>
        <w:t>Społeczność rolnicza jest zadowolona z publikacji przeglądu handlowego w sprawie otwartej strategicznej autonomii.</w:t>
      </w:r>
      <w:r>
        <w:rPr>
          <w:rFonts w:ascii="Georgia" w:hAnsi="Georgia"/>
          <w:color w:val="212121"/>
          <w:sz w:val="21"/>
          <w:szCs w:val="21"/>
        </w:rPr>
        <w:t xml:space="preserve"> Europejskie środki spożywcze zyskują coraz większe uznanie ze względu na swój zrównoważony charakter. Europa jest de facto znana ze swojej odżywczej, bezpiecznej, zrównoważonej, wysokiej jakości żywności. </w:t>
      </w:r>
      <w:r>
        <w:rPr>
          <w:rFonts w:ascii="Georgia" w:hAnsi="Georgia"/>
          <w:b/>
          <w:bCs/>
          <w:color w:val="212121"/>
          <w:sz w:val="21"/>
          <w:szCs w:val="21"/>
        </w:rPr>
        <w:t>Opowiadamy się za handlem, pod warunkiem, że jest uczciwy, wyważony i przejrzysty.</w:t>
      </w:r>
      <w:r>
        <w:rPr>
          <w:rFonts w:ascii="Georgia" w:hAnsi="Georgia"/>
          <w:color w:val="212121"/>
          <w:sz w:val="21"/>
          <w:szCs w:val="21"/>
        </w:rPr>
        <w:t xml:space="preserve"> </w:t>
      </w:r>
    </w:p>
    <w:p w:rsidR="00B04AA3" w:rsidRDefault="00B04AA3" w:rsidP="00B04AA3">
      <w:pPr>
        <w:pStyle w:val="xmsolistparagraph"/>
        <w:shd w:val="clear" w:color="auto" w:fill="FFFFFF"/>
        <w:ind w:left="720"/>
        <w:contextualSpacing/>
        <w:jc w:val="both"/>
        <w:rPr>
          <w:rFonts w:ascii="Georgia" w:hAnsi="Georgia" w:cs="Calibri"/>
          <w:b/>
          <w:bCs/>
          <w:color w:val="212121"/>
          <w:sz w:val="21"/>
          <w:szCs w:val="21"/>
        </w:rPr>
      </w:pPr>
    </w:p>
    <w:p w:rsidR="007E0855" w:rsidRDefault="007E0855" w:rsidP="00B04AA3">
      <w:pPr>
        <w:pStyle w:val="xmsolistparagraph"/>
        <w:numPr>
          <w:ilvl w:val="0"/>
          <w:numId w:val="4"/>
        </w:numPr>
        <w:shd w:val="clear" w:color="auto" w:fill="FFFFFF"/>
        <w:contextualSpacing/>
        <w:jc w:val="both"/>
        <w:rPr>
          <w:rFonts w:ascii="Georgia" w:hAnsi="Georgia" w:cs="Calibri"/>
          <w:b/>
          <w:bCs/>
          <w:color w:val="212121"/>
          <w:sz w:val="21"/>
          <w:szCs w:val="21"/>
        </w:rPr>
      </w:pPr>
      <w:r>
        <w:rPr>
          <w:rFonts w:ascii="Georgia" w:hAnsi="Georgia"/>
          <w:color w:val="212121"/>
          <w:sz w:val="21"/>
          <w:szCs w:val="21"/>
        </w:rPr>
        <w:t xml:space="preserve">W 2019 r. unijny odporny łańcuch rolno-spożywczy osiągnął bilans handlowy netto w wysokości 31,9 mld euro. </w:t>
      </w:r>
      <w:r>
        <w:rPr>
          <w:rFonts w:ascii="Georgia" w:hAnsi="Georgia"/>
          <w:b/>
          <w:bCs/>
          <w:color w:val="212121"/>
          <w:sz w:val="21"/>
          <w:szCs w:val="21"/>
        </w:rPr>
        <w:t>Eksport produktów rolno-spożywczych w dużej mierze przyczynia się do osiągnięcia nadwyżki handlowej netto w UE</w:t>
      </w:r>
      <w:r>
        <w:rPr>
          <w:rFonts w:ascii="Georgia" w:hAnsi="Georgia"/>
          <w:color w:val="212121"/>
          <w:sz w:val="21"/>
          <w:szCs w:val="21"/>
        </w:rPr>
        <w:t xml:space="preserve"> (1/3</w:t>
      </w:r>
      <w:r w:rsidR="00917F6A">
        <w:rPr>
          <w:rFonts w:ascii="Georgia" w:hAnsi="Georgia"/>
          <w:color w:val="212121"/>
          <w:sz w:val="21"/>
          <w:szCs w:val="21"/>
        </w:rPr>
        <w:t> </w:t>
      </w:r>
      <w:r>
        <w:rPr>
          <w:rFonts w:ascii="Georgia" w:hAnsi="Georgia"/>
          <w:color w:val="212121"/>
          <w:sz w:val="21"/>
          <w:szCs w:val="21"/>
        </w:rPr>
        <w:t>całkowitego bilansu handlowego netto UE), tworząc w ten sposób miejsca pracy na obszarach wiejskich i zapewniając bezpieczeństwo żywnościowe.</w:t>
      </w:r>
    </w:p>
    <w:p w:rsidR="00B04AA3" w:rsidRPr="00B04AA3" w:rsidRDefault="00B04AA3" w:rsidP="00B04AA3">
      <w:pPr>
        <w:pStyle w:val="xmsolistparagraph"/>
        <w:shd w:val="clear" w:color="auto" w:fill="FFFFFF"/>
        <w:contextualSpacing/>
        <w:jc w:val="both"/>
        <w:rPr>
          <w:rFonts w:ascii="Georgia" w:hAnsi="Georgia" w:cs="Calibri"/>
          <w:b/>
          <w:bCs/>
          <w:color w:val="212121"/>
          <w:sz w:val="21"/>
          <w:szCs w:val="21"/>
        </w:rPr>
      </w:pPr>
    </w:p>
    <w:p w:rsidR="00917F6A" w:rsidRDefault="007E0855" w:rsidP="00B04AA3">
      <w:pPr>
        <w:pStyle w:val="xmsolistparagraph"/>
        <w:numPr>
          <w:ilvl w:val="0"/>
          <w:numId w:val="4"/>
        </w:numPr>
        <w:shd w:val="clear" w:color="auto" w:fill="FFFFFF"/>
        <w:contextualSpacing/>
        <w:jc w:val="both"/>
        <w:rPr>
          <w:rFonts w:ascii="Georgia" w:hAnsi="Georgia" w:cs="Calibri"/>
          <w:b/>
          <w:bCs/>
          <w:color w:val="212121"/>
          <w:sz w:val="21"/>
          <w:szCs w:val="21"/>
        </w:rPr>
      </w:pPr>
      <w:r>
        <w:rPr>
          <w:rFonts w:ascii="Georgia" w:hAnsi="Georgia"/>
          <w:color w:val="212121"/>
          <w:sz w:val="21"/>
          <w:szCs w:val="21"/>
        </w:rPr>
        <w:t>Niemniej jednak, eksport nie jest celem samym w sobie.</w:t>
      </w:r>
      <w:r>
        <w:rPr>
          <w:rFonts w:ascii="Georgia" w:hAnsi="Georgia"/>
          <w:b/>
          <w:bCs/>
          <w:color w:val="212121"/>
          <w:sz w:val="21"/>
          <w:szCs w:val="21"/>
        </w:rPr>
        <w:t xml:space="preserve"> Celem jest tworzenie wartości dodanej, która przekładać się będzie na korzyści dla rolników i spółdzielni rolniczych.</w:t>
      </w:r>
      <w:r>
        <w:rPr>
          <w:rFonts w:ascii="Georgia" w:hAnsi="Georgia"/>
          <w:color w:val="212121"/>
          <w:sz w:val="21"/>
          <w:szCs w:val="21"/>
        </w:rPr>
        <w:t xml:space="preserve"> Mimo pozytywnego bilansu handlowego unijni rolnicy jak dotąd nie odczuli, by tworzył on prawdziwą wartość na poziomie gospodarstw. </w:t>
      </w:r>
    </w:p>
    <w:p w:rsidR="00917F6A" w:rsidRPr="00917F6A" w:rsidRDefault="00917F6A" w:rsidP="00B04AA3">
      <w:pPr>
        <w:pStyle w:val="xmsolistparagraph"/>
        <w:shd w:val="clear" w:color="auto" w:fill="FFFFFF"/>
        <w:ind w:left="360"/>
        <w:contextualSpacing/>
        <w:jc w:val="both"/>
        <w:rPr>
          <w:rFonts w:ascii="Georgia" w:hAnsi="Georgia" w:cs="Calibri"/>
          <w:b/>
          <w:bCs/>
          <w:color w:val="212121"/>
          <w:sz w:val="21"/>
          <w:szCs w:val="21"/>
        </w:rPr>
      </w:pPr>
    </w:p>
    <w:p w:rsidR="007E0855" w:rsidRPr="00B73310" w:rsidRDefault="007E0855" w:rsidP="00B73310">
      <w:pPr>
        <w:pStyle w:val="xmsolistparagraph"/>
        <w:numPr>
          <w:ilvl w:val="1"/>
          <w:numId w:val="4"/>
        </w:numPr>
        <w:shd w:val="clear" w:color="auto" w:fill="FFFFFF"/>
        <w:contextualSpacing/>
        <w:jc w:val="both"/>
        <w:rPr>
          <w:rFonts w:ascii="Georgia" w:hAnsi="Georgia" w:cs="Calibri"/>
          <w:i/>
          <w:iCs/>
          <w:color w:val="212121"/>
          <w:sz w:val="21"/>
          <w:szCs w:val="21"/>
        </w:rPr>
      </w:pPr>
      <w:r>
        <w:rPr>
          <w:rFonts w:ascii="Georgia" w:hAnsi="Georgia"/>
          <w:i/>
          <w:iCs/>
          <w:color w:val="212121"/>
          <w:sz w:val="21"/>
          <w:szCs w:val="21"/>
        </w:rPr>
        <w:t xml:space="preserve">Zgodnie z komunikatem przywóz musi spełniać właściwe przepisy i standardy UE. </w:t>
      </w:r>
      <w:r>
        <w:rPr>
          <w:rFonts w:ascii="Georgia" w:hAnsi="Georgia"/>
          <w:i/>
          <w:iCs/>
          <w:color w:val="212121"/>
          <w:sz w:val="21"/>
          <w:szCs w:val="21"/>
          <w:highlight w:val="yellow"/>
        </w:rPr>
        <w:t xml:space="preserve">W pewnych okolicznościach określonych w zasadach WTO właściwe jest, aby UE wymagała zgodności przywożonych produktów z </w:t>
      </w:r>
      <w:r>
        <w:rPr>
          <w:rFonts w:ascii="Georgia" w:hAnsi="Georgia"/>
          <w:i/>
          <w:iCs/>
          <w:color w:val="212121"/>
          <w:sz w:val="21"/>
          <w:szCs w:val="21"/>
          <w:highlight w:val="yellow"/>
          <w:u w:val="single"/>
        </w:rPr>
        <w:t>niektórymi wymogami produkcji.</w:t>
      </w:r>
      <w:r>
        <w:rPr>
          <w:rFonts w:ascii="Georgia" w:hAnsi="Georgia"/>
          <w:i/>
          <w:iCs/>
          <w:color w:val="212121"/>
          <w:sz w:val="21"/>
          <w:szCs w:val="21"/>
        </w:rPr>
        <w:t xml:space="preserve"> Ogólnoświatowe zasady handlu mają za zadanie zagwarantować przewidywalne i niedyskryminacyjne ramy handlu, jednocześnie zabezpieczając prawo każdego państwa do wprowadzania regulacji zgodnych z jego preferencjami społecznymi. Podstawą legalności stosowania wymogów produkcji do przywozu jest konieczność ochrony środowiska na całym świecie lub reagowania na obawy natury etycznej. Za każdym razem, gdy UE będzie rozważać zastosowanie takich środków do produktów przywożonych, odbywać się to będzie przy pełnym poszanowaniu zasad WTO, w szczególności zasady niedyskryminacji i proporcjonalności, aby uniknąć niepotrzebnych zakłóceń handlu. Komisja zapoczątkuje prace nad opracowaniem norm zrównoważonego rozwoju i ukształtuje normy </w:t>
      </w:r>
      <w:r>
        <w:rPr>
          <w:rFonts w:ascii="Georgia" w:hAnsi="Georgia"/>
          <w:i/>
          <w:iCs/>
          <w:color w:val="212121"/>
          <w:sz w:val="21"/>
          <w:szCs w:val="21"/>
        </w:rPr>
        <w:lastRenderedPageBreak/>
        <w:t>międzynarodowe zgodnie z Europejskim Zielonym Ładem, jednocześnie współpracując ze swoimi partnerami w zakresie sformułowania i wdrożenia zasad, które będą w podobnym stopniu ambitne.</w:t>
      </w:r>
    </w:p>
    <w:p w:rsidR="00B73310" w:rsidRPr="000248B5" w:rsidRDefault="00B73310" w:rsidP="00B73310">
      <w:pPr>
        <w:pStyle w:val="xmsolistparagraph"/>
        <w:shd w:val="clear" w:color="auto" w:fill="FFFFFF"/>
        <w:ind w:left="1440"/>
        <w:contextualSpacing/>
        <w:jc w:val="both"/>
        <w:rPr>
          <w:rFonts w:ascii="Georgia" w:hAnsi="Georgia" w:cs="Calibri"/>
          <w:i/>
          <w:iCs/>
          <w:color w:val="212121"/>
          <w:sz w:val="21"/>
          <w:szCs w:val="21"/>
        </w:rPr>
      </w:pPr>
    </w:p>
    <w:p w:rsidR="007E0855" w:rsidRPr="00942B67" w:rsidRDefault="007E0855" w:rsidP="00B73310">
      <w:pPr>
        <w:pStyle w:val="xmsolistparagraph"/>
        <w:numPr>
          <w:ilvl w:val="0"/>
          <w:numId w:val="4"/>
        </w:numPr>
        <w:shd w:val="clear" w:color="auto" w:fill="FFFFFF"/>
        <w:contextualSpacing/>
        <w:jc w:val="both"/>
        <w:rPr>
          <w:rFonts w:ascii="Georgia" w:hAnsi="Georgia" w:cs="Calibri"/>
          <w:b/>
          <w:bCs/>
          <w:color w:val="212121"/>
          <w:sz w:val="21"/>
          <w:szCs w:val="21"/>
        </w:rPr>
      </w:pPr>
      <w:r>
        <w:rPr>
          <w:rFonts w:ascii="Georgia" w:hAnsi="Georgia"/>
          <w:color w:val="212121"/>
          <w:sz w:val="21"/>
          <w:szCs w:val="21"/>
        </w:rPr>
        <w:t xml:space="preserve">Naszym zdaniem, obejmując rolę światowego lidera </w:t>
      </w:r>
      <w:r>
        <w:rPr>
          <w:rFonts w:ascii="Georgia" w:hAnsi="Georgia"/>
          <w:b/>
          <w:bCs/>
          <w:color w:val="212121"/>
          <w:sz w:val="21"/>
          <w:szCs w:val="21"/>
        </w:rPr>
        <w:t>musimy tworzyć równe warunki konkurencji dla wszystkich podmiotów w handlu międzynarodowym. Musimy też promować wszystkie aspekty zrównoważoności i sprawić, by z korzyści wynikających z handlu czerpali również producenci.</w:t>
      </w:r>
    </w:p>
    <w:p w:rsidR="007E0855" w:rsidRPr="00942B67" w:rsidRDefault="007E0855" w:rsidP="00BB65D7">
      <w:pPr>
        <w:pStyle w:val="xmsolistparagraph"/>
        <w:shd w:val="clear" w:color="auto" w:fill="FFFFFF"/>
        <w:ind w:left="720"/>
        <w:contextualSpacing/>
        <w:jc w:val="both"/>
        <w:rPr>
          <w:rFonts w:ascii="Georgia" w:hAnsi="Georgia" w:cs="Calibri"/>
          <w:b/>
          <w:bCs/>
          <w:color w:val="212121"/>
          <w:sz w:val="21"/>
          <w:szCs w:val="21"/>
        </w:rPr>
      </w:pPr>
    </w:p>
    <w:p w:rsidR="007E0855" w:rsidRPr="00942B67" w:rsidRDefault="007E0855" w:rsidP="00BB65D7">
      <w:pPr>
        <w:pStyle w:val="xmsolistparagraph"/>
        <w:numPr>
          <w:ilvl w:val="0"/>
          <w:numId w:val="4"/>
        </w:numPr>
        <w:shd w:val="clear" w:color="auto" w:fill="FFFFFF"/>
        <w:contextualSpacing/>
        <w:jc w:val="both"/>
        <w:rPr>
          <w:rFonts w:ascii="Georgia" w:hAnsi="Georgia" w:cs="Calibri"/>
          <w:b/>
          <w:bCs/>
          <w:color w:val="212121"/>
          <w:sz w:val="21"/>
          <w:szCs w:val="21"/>
        </w:rPr>
      </w:pPr>
      <w:r>
        <w:rPr>
          <w:rFonts w:ascii="Georgia" w:hAnsi="Georgia"/>
          <w:color w:val="212121"/>
          <w:sz w:val="21"/>
          <w:szCs w:val="21"/>
        </w:rPr>
        <w:t>Ograniczenia i obowiązki, których muszą przestrzegać europejscy producenci, powinny dotyczyć również przywozu do UE i być regularnie monitorowane. Jeżeli mamy zmierzyć się z zaostrzonymi restrykcjami dotyczącymi upraw i wyższymi normami produkcji wynikającymi z ram UE (Zielony Ład, strategia „od pola do stołu”, strategia na rzecz różnorodności biologicznej i WPR) to oczekujemy uczciwego traktowania. Co więcej, trzeba wziąć pod uwagę ocenę skumulowanych skutków, zwłaszcza w odniesieniu do dostępu do rynku w sektorach wrażliwych.</w:t>
      </w:r>
    </w:p>
    <w:p w:rsidR="007E0855" w:rsidRPr="00942B67" w:rsidRDefault="007E0855" w:rsidP="007E0855">
      <w:pPr>
        <w:pStyle w:val="xmsonormal"/>
        <w:shd w:val="clear" w:color="auto" w:fill="FFFFFF"/>
        <w:spacing w:line="233" w:lineRule="atLeast"/>
        <w:ind w:left="720"/>
        <w:jc w:val="both"/>
        <w:rPr>
          <w:rFonts w:ascii="Georgia" w:hAnsi="Georgia" w:cs="Calibri"/>
          <w:i/>
          <w:iCs/>
          <w:color w:val="212121"/>
          <w:sz w:val="21"/>
          <w:szCs w:val="21"/>
          <w:shd w:val="clear" w:color="auto" w:fill="FFFFFF"/>
        </w:rPr>
      </w:pPr>
      <w:r>
        <w:rPr>
          <w:rFonts w:ascii="Georgia" w:hAnsi="Georgia"/>
          <w:i/>
          <w:iCs/>
          <w:color w:val="212121"/>
          <w:sz w:val="21"/>
          <w:szCs w:val="21"/>
          <w:shd w:val="clear" w:color="auto" w:fill="FFFFFF"/>
        </w:rPr>
        <w:t>Komisja proponuje zbiór reform WTO odnoszących się w szczególności do zwiększenia wkładu WTO na rzecz zrównoważonego rozwoju. Komisja nada pierwszeństwo zacieśnieniu współpracy transatlantyckiej w zakresie reformy WTO; Komisja będzie pracować nad przywróceniem w pełni sprawnego systemu rozstrzygania sporów WTO obejmującego zreformowany Organ Apelacyjny.</w:t>
      </w:r>
    </w:p>
    <w:p w:rsidR="007E0855" w:rsidRPr="00942B67" w:rsidRDefault="007E0855" w:rsidP="007E0855">
      <w:pPr>
        <w:pStyle w:val="xmsonormal"/>
        <w:numPr>
          <w:ilvl w:val="0"/>
          <w:numId w:val="4"/>
        </w:numPr>
        <w:shd w:val="clear" w:color="auto" w:fill="FFFFFF"/>
        <w:spacing w:before="0" w:beforeAutospacing="0" w:after="0" w:afterAutospacing="0" w:line="233" w:lineRule="atLeast"/>
        <w:jc w:val="both"/>
        <w:rPr>
          <w:rFonts w:ascii="Georgia" w:hAnsi="Georgia" w:cs="Calibri"/>
          <w:color w:val="212121"/>
          <w:sz w:val="21"/>
          <w:szCs w:val="21"/>
          <w:shd w:val="clear" w:color="auto" w:fill="FFFFFF"/>
        </w:rPr>
      </w:pPr>
      <w:r>
        <w:rPr>
          <w:rFonts w:ascii="Georgia" w:hAnsi="Georgia"/>
          <w:b/>
          <w:bCs/>
          <w:color w:val="212121"/>
          <w:sz w:val="21"/>
          <w:szCs w:val="21"/>
        </w:rPr>
        <w:t>Copa-Cogeca preferuje wielostronne umowy handlowe. Europejscy rolnicy i ich spółdzielnie od zawsze uważają, że negocj</w:t>
      </w:r>
      <w:r w:rsidR="00917F6A">
        <w:rPr>
          <w:rFonts w:ascii="Georgia" w:hAnsi="Georgia"/>
          <w:b/>
          <w:bCs/>
          <w:color w:val="212121"/>
          <w:sz w:val="21"/>
          <w:szCs w:val="21"/>
        </w:rPr>
        <w:t>acje na szczeblu WTO powinny nad</w:t>
      </w:r>
      <w:r>
        <w:rPr>
          <w:rFonts w:ascii="Georgia" w:hAnsi="Georgia"/>
          <w:b/>
          <w:bCs/>
          <w:color w:val="212121"/>
          <w:sz w:val="21"/>
          <w:szCs w:val="21"/>
        </w:rPr>
        <w:t>al stanowić podstawę unijnej strategii handlowej, zwłaszcza w odniesieniu do sektora rolnego. Popieramy WTO i ewentualne nowe pomysły dotyczące międzynarodowej dyscypliny handlowej, np.:</w:t>
      </w:r>
    </w:p>
    <w:p w:rsidR="007E0855" w:rsidRPr="00403DBB" w:rsidRDefault="007E0855" w:rsidP="007E0855">
      <w:pPr>
        <w:pStyle w:val="xmsonormal"/>
        <w:numPr>
          <w:ilvl w:val="1"/>
          <w:numId w:val="4"/>
        </w:numPr>
        <w:shd w:val="clear" w:color="auto" w:fill="FFFFFF"/>
        <w:spacing w:before="0" w:beforeAutospacing="0" w:after="0" w:afterAutospacing="0" w:line="233" w:lineRule="atLeast"/>
        <w:jc w:val="both"/>
        <w:rPr>
          <w:rFonts w:ascii="Georgia" w:hAnsi="Georgia" w:cs="Calibri"/>
          <w:color w:val="212121"/>
          <w:sz w:val="21"/>
          <w:szCs w:val="21"/>
          <w:shd w:val="clear" w:color="auto" w:fill="FFFFFF"/>
        </w:rPr>
      </w:pPr>
      <w:r>
        <w:rPr>
          <w:rFonts w:ascii="Georgia" w:hAnsi="Georgia"/>
          <w:b/>
          <w:bCs/>
          <w:color w:val="212121"/>
          <w:sz w:val="21"/>
          <w:szCs w:val="21"/>
        </w:rPr>
        <w:t>sprawnie funkcjonujący organ rozwiązywania sporów;</w:t>
      </w:r>
      <w:r>
        <w:rPr>
          <w:rFonts w:ascii="Georgia" w:hAnsi="Georgia"/>
          <w:color w:val="212121"/>
          <w:sz w:val="21"/>
          <w:szCs w:val="21"/>
        </w:rPr>
        <w:t xml:space="preserve"> </w:t>
      </w:r>
    </w:p>
    <w:p w:rsidR="007E0855" w:rsidRPr="00942B67" w:rsidRDefault="007E0855" w:rsidP="00796E73">
      <w:pPr>
        <w:pStyle w:val="xmsonormal"/>
        <w:numPr>
          <w:ilvl w:val="1"/>
          <w:numId w:val="4"/>
        </w:numPr>
        <w:shd w:val="clear" w:color="auto" w:fill="FFFFFF"/>
        <w:spacing w:before="0" w:beforeAutospacing="0" w:after="0" w:afterAutospacing="0" w:line="233" w:lineRule="atLeast"/>
        <w:contextualSpacing/>
        <w:jc w:val="both"/>
        <w:rPr>
          <w:rFonts w:ascii="Georgia" w:hAnsi="Georgia" w:cs="Calibri"/>
          <w:color w:val="212121"/>
          <w:sz w:val="21"/>
          <w:szCs w:val="21"/>
          <w:shd w:val="clear" w:color="auto" w:fill="FFFFFF"/>
        </w:rPr>
      </w:pPr>
      <w:r>
        <w:rPr>
          <w:rFonts w:ascii="Georgia" w:hAnsi="Georgia"/>
          <w:b/>
          <w:bCs/>
          <w:color w:val="212121"/>
          <w:sz w:val="21"/>
          <w:szCs w:val="21"/>
        </w:rPr>
        <w:t xml:space="preserve">mechanizm dostosowania cen na granicach z uwzględnieniem emisji dwutlenku węgla (CBAM). </w:t>
      </w:r>
      <w:r>
        <w:rPr>
          <w:rFonts w:ascii="Georgia" w:hAnsi="Georgia"/>
          <w:color w:val="212121"/>
          <w:sz w:val="21"/>
          <w:szCs w:val="21"/>
          <w:shd w:val="clear" w:color="auto" w:fill="FFFFFF"/>
        </w:rPr>
        <w:t xml:space="preserve">Unijny sektor rolny jest zainteresowany tym rozwiązaniem i jest do niego przywiązany na szczeblu UE. Niemniej jednak, </w:t>
      </w:r>
      <w:r>
        <w:rPr>
          <w:rFonts w:ascii="Georgia" w:hAnsi="Georgia"/>
          <w:b/>
          <w:bCs/>
          <w:color w:val="212121"/>
          <w:sz w:val="21"/>
          <w:szCs w:val="21"/>
          <w:shd w:val="clear" w:color="auto" w:fill="FFFFFF"/>
        </w:rPr>
        <w:t>CBAM raczej nie obejmie sektora rolnego (ma uwzględnić jedynie sektory objęte ETS). By uniknąć ucieczki emisji trzeba by wtedy koniecznie wykluczyć sektor nawozów z jego zakresu.</w:t>
      </w:r>
      <w:r>
        <w:rPr>
          <w:rFonts w:ascii="Georgia" w:hAnsi="Georgia"/>
          <w:color w:val="212121"/>
          <w:sz w:val="21"/>
          <w:szCs w:val="21"/>
          <w:shd w:val="clear" w:color="auto" w:fill="FFFFFF"/>
        </w:rPr>
        <w:t xml:space="preserve"> Popieramy inicjatywę, w której Parlament Europejski wzywa Komisję do przeprowadzenia oceny rynkowego systemu uprawnień do emisji.</w:t>
      </w:r>
    </w:p>
    <w:p w:rsidR="007E0855" w:rsidRDefault="007E0855" w:rsidP="00796E73">
      <w:pPr>
        <w:pStyle w:val="xmsonormal"/>
        <w:shd w:val="clear" w:color="auto" w:fill="FFFFFF"/>
        <w:spacing w:before="0" w:beforeAutospacing="0" w:after="0" w:afterAutospacing="0" w:line="233" w:lineRule="atLeast"/>
        <w:contextualSpacing/>
        <w:jc w:val="both"/>
        <w:rPr>
          <w:rFonts w:ascii="Georgia" w:hAnsi="Georgia" w:cs="Calibri"/>
          <w:color w:val="212121"/>
          <w:sz w:val="21"/>
          <w:szCs w:val="21"/>
          <w:shd w:val="clear" w:color="auto" w:fill="FFFFFF"/>
        </w:rPr>
      </w:pPr>
    </w:p>
    <w:p w:rsidR="007E0855" w:rsidRPr="00942B67" w:rsidRDefault="007E0855" w:rsidP="00796E73">
      <w:pPr>
        <w:pStyle w:val="xmsolistparagraph"/>
        <w:numPr>
          <w:ilvl w:val="0"/>
          <w:numId w:val="4"/>
        </w:numPr>
        <w:shd w:val="clear" w:color="auto" w:fill="FFFFFF"/>
        <w:spacing w:after="0" w:afterAutospacing="0"/>
        <w:contextualSpacing/>
        <w:jc w:val="both"/>
        <w:rPr>
          <w:rFonts w:ascii="Georgia" w:hAnsi="Georgia" w:cs="Calibri"/>
          <w:sz w:val="21"/>
          <w:szCs w:val="21"/>
        </w:rPr>
      </w:pPr>
      <w:r>
        <w:rPr>
          <w:rFonts w:ascii="Georgia" w:hAnsi="Georgia"/>
          <w:sz w:val="21"/>
          <w:szCs w:val="21"/>
        </w:rPr>
        <w:t>Popieramy dążenia do usunięcia n</w:t>
      </w:r>
      <w:r w:rsidR="00BA2D3E">
        <w:rPr>
          <w:rFonts w:ascii="Georgia" w:hAnsi="Georgia"/>
          <w:sz w:val="21"/>
          <w:szCs w:val="21"/>
        </w:rPr>
        <w:t xml:space="preserve">ieuzasadnionych barier w handlu, z jakimi borykają się kraje eksportujące produkty rolno-spożywcze </w:t>
      </w:r>
      <w:r>
        <w:rPr>
          <w:rFonts w:ascii="Georgia" w:hAnsi="Georgia"/>
          <w:sz w:val="21"/>
          <w:szCs w:val="21"/>
        </w:rPr>
        <w:t xml:space="preserve">(jak regionalizacja, UE traktowana jako jednolity organizm, środki antydumpingowe i </w:t>
      </w:r>
      <w:proofErr w:type="spellStart"/>
      <w:r>
        <w:rPr>
          <w:rFonts w:ascii="Georgia" w:hAnsi="Georgia"/>
          <w:sz w:val="21"/>
          <w:szCs w:val="21"/>
        </w:rPr>
        <w:t>antysubsydyjne</w:t>
      </w:r>
      <w:proofErr w:type="spellEnd"/>
      <w:r>
        <w:rPr>
          <w:rFonts w:ascii="Georgia" w:hAnsi="Georgia"/>
          <w:sz w:val="21"/>
          <w:szCs w:val="21"/>
        </w:rPr>
        <w:t>). Należą do nich:</w:t>
      </w:r>
    </w:p>
    <w:p w:rsidR="007E0855" w:rsidRPr="00942B67" w:rsidRDefault="007E0855" w:rsidP="007E0855">
      <w:pPr>
        <w:pStyle w:val="xmsolistparagraph"/>
        <w:numPr>
          <w:ilvl w:val="1"/>
          <w:numId w:val="4"/>
        </w:numPr>
        <w:shd w:val="clear" w:color="auto" w:fill="FFFFFF"/>
        <w:spacing w:after="0"/>
        <w:jc w:val="both"/>
        <w:rPr>
          <w:rFonts w:ascii="Georgia" w:hAnsi="Georgia" w:cs="Calibri"/>
          <w:sz w:val="21"/>
          <w:szCs w:val="21"/>
        </w:rPr>
      </w:pPr>
      <w:r>
        <w:rPr>
          <w:rFonts w:ascii="Georgia" w:hAnsi="Georgia"/>
          <w:sz w:val="21"/>
          <w:szCs w:val="21"/>
        </w:rPr>
        <w:t>Uznanie i wprowadzenie regionalizacji w momencie pojawienia się ognisk chorób zwierząt i roślin.</w:t>
      </w:r>
    </w:p>
    <w:p w:rsidR="007E0855" w:rsidRPr="00942B67" w:rsidRDefault="007E0855" w:rsidP="00BB65D7">
      <w:pPr>
        <w:pStyle w:val="xmsolistparagraph"/>
        <w:numPr>
          <w:ilvl w:val="1"/>
          <w:numId w:val="4"/>
        </w:numPr>
        <w:shd w:val="clear" w:color="auto" w:fill="FFFFFF"/>
        <w:contextualSpacing/>
        <w:jc w:val="both"/>
        <w:rPr>
          <w:rFonts w:ascii="Georgia" w:hAnsi="Georgia" w:cs="Calibri"/>
          <w:sz w:val="21"/>
          <w:szCs w:val="21"/>
        </w:rPr>
      </w:pPr>
      <w:r>
        <w:rPr>
          <w:rFonts w:ascii="Georgia" w:hAnsi="Georgia"/>
          <w:sz w:val="21"/>
          <w:szCs w:val="21"/>
        </w:rPr>
        <w:t xml:space="preserve">Cła antydumpingowe i </w:t>
      </w:r>
      <w:proofErr w:type="spellStart"/>
      <w:r>
        <w:rPr>
          <w:rFonts w:ascii="Georgia" w:hAnsi="Georgia"/>
          <w:sz w:val="21"/>
          <w:szCs w:val="21"/>
        </w:rPr>
        <w:t>antysubsydyjne</w:t>
      </w:r>
      <w:proofErr w:type="spellEnd"/>
      <w:r>
        <w:rPr>
          <w:rFonts w:ascii="Georgia" w:hAnsi="Georgia"/>
          <w:sz w:val="21"/>
          <w:szCs w:val="21"/>
        </w:rPr>
        <w:t xml:space="preserve"> nałożone na oliwki stołowe (2018).</w:t>
      </w:r>
    </w:p>
    <w:p w:rsidR="007E0855" w:rsidRPr="00942B67" w:rsidRDefault="007E0855" w:rsidP="00BB65D7">
      <w:pPr>
        <w:pStyle w:val="xmsolistparagraph"/>
        <w:numPr>
          <w:ilvl w:val="1"/>
          <w:numId w:val="4"/>
        </w:numPr>
        <w:shd w:val="clear" w:color="auto" w:fill="FFFFFF"/>
        <w:contextualSpacing/>
        <w:jc w:val="both"/>
        <w:rPr>
          <w:rFonts w:ascii="Georgia" w:hAnsi="Georgia" w:cs="Calibri"/>
          <w:sz w:val="21"/>
          <w:szCs w:val="21"/>
        </w:rPr>
      </w:pPr>
      <w:r>
        <w:rPr>
          <w:rFonts w:ascii="Georgia" w:hAnsi="Georgia"/>
          <w:sz w:val="21"/>
          <w:szCs w:val="21"/>
        </w:rPr>
        <w:t>Środki antydumpingowe nałożone przez RPA na produkty drobiowe pochodzące z niektórych państw członkowskich.</w:t>
      </w:r>
    </w:p>
    <w:p w:rsidR="007E0855" w:rsidRPr="00942B67" w:rsidRDefault="007E0855" w:rsidP="00BB65D7">
      <w:pPr>
        <w:pStyle w:val="xmsolistparagraph"/>
        <w:numPr>
          <w:ilvl w:val="1"/>
          <w:numId w:val="4"/>
        </w:numPr>
        <w:shd w:val="clear" w:color="auto" w:fill="FFFFFF"/>
        <w:contextualSpacing/>
        <w:jc w:val="both"/>
        <w:rPr>
          <w:rFonts w:ascii="Georgia" w:hAnsi="Georgia" w:cs="Calibri"/>
          <w:sz w:val="21"/>
          <w:szCs w:val="21"/>
        </w:rPr>
      </w:pPr>
      <w:r>
        <w:rPr>
          <w:rFonts w:ascii="Georgia" w:hAnsi="Georgia"/>
          <w:sz w:val="21"/>
          <w:szCs w:val="21"/>
        </w:rPr>
        <w:t xml:space="preserve">Itd. </w:t>
      </w:r>
    </w:p>
    <w:p w:rsidR="007E0855" w:rsidRPr="00942B67" w:rsidRDefault="007E0855" w:rsidP="00BB65D7">
      <w:pPr>
        <w:pStyle w:val="xmsolistparagraph"/>
        <w:shd w:val="clear" w:color="auto" w:fill="FFFFFF"/>
        <w:ind w:left="720"/>
        <w:contextualSpacing/>
        <w:jc w:val="both"/>
        <w:rPr>
          <w:rFonts w:ascii="Georgia" w:hAnsi="Georgia" w:cs="Calibri"/>
          <w:sz w:val="21"/>
          <w:szCs w:val="21"/>
        </w:rPr>
      </w:pPr>
    </w:p>
    <w:p w:rsidR="007E0855" w:rsidRDefault="007E0855" w:rsidP="00BB65D7">
      <w:pPr>
        <w:pStyle w:val="xmsolistparagraph"/>
        <w:numPr>
          <w:ilvl w:val="0"/>
          <w:numId w:val="4"/>
        </w:numPr>
        <w:shd w:val="clear" w:color="auto" w:fill="FFFFFF"/>
        <w:contextualSpacing/>
        <w:jc w:val="both"/>
        <w:rPr>
          <w:rFonts w:ascii="Georgia" w:hAnsi="Georgia" w:cs="Calibri"/>
          <w:sz w:val="21"/>
          <w:szCs w:val="21"/>
        </w:rPr>
      </w:pPr>
      <w:r>
        <w:rPr>
          <w:rFonts w:ascii="Georgia" w:hAnsi="Georgia"/>
          <w:sz w:val="21"/>
          <w:szCs w:val="21"/>
        </w:rPr>
        <w:t>Popieramy położenie większego nacisku w komunikacji na uczciwą konkurencję i lepsze egzekwowanie i wdrażanie umów o wolnym handlu i zasad handlowych. Dotyczy to zwłaszcza dostępu do naszego rynku. Bardzo ważne jest, byśmy wszyscy promowali międzynarodowy handel, by znaleźć nowych partnerów handlowych i przedstawić szeroko zakrojone korzyści już ugruntowanym jak i nowym podmiotom. Ma to szczególne znaczenie w odniesieniu do:</w:t>
      </w:r>
    </w:p>
    <w:p w:rsidR="002D3FBC" w:rsidRPr="002D3FBC" w:rsidRDefault="007E0855" w:rsidP="0050735A">
      <w:pPr>
        <w:pStyle w:val="xmsolistparagraph"/>
        <w:numPr>
          <w:ilvl w:val="0"/>
          <w:numId w:val="6"/>
        </w:numPr>
        <w:shd w:val="clear" w:color="auto" w:fill="FFFFFF"/>
        <w:spacing w:after="0"/>
        <w:jc w:val="both"/>
        <w:rPr>
          <w:rFonts w:ascii="Georgia" w:hAnsi="Georgia" w:cs="Calibri"/>
          <w:sz w:val="21"/>
          <w:szCs w:val="21"/>
        </w:rPr>
      </w:pPr>
      <w:r>
        <w:rPr>
          <w:rFonts w:ascii="Georgia" w:hAnsi="Georgia"/>
          <w:sz w:val="21"/>
          <w:szCs w:val="21"/>
        </w:rPr>
        <w:t xml:space="preserve">Wdrażania umowy CETA, gdyż nie osiągnięto jeszcze sprawiedliwego dostępu do rynku, zwłaszcza w przypadku dostępu unijnych podmiotów do kontyngentów </w:t>
      </w:r>
      <w:r>
        <w:rPr>
          <w:rFonts w:ascii="Georgia" w:hAnsi="Georgia"/>
          <w:sz w:val="21"/>
          <w:szCs w:val="21"/>
        </w:rPr>
        <w:lastRenderedPageBreak/>
        <w:t>taryfowych produktów mlecznych, wina i napojów spirytusowych (dodatkowe informacje znajdują się poniżej), a także ceł antydumpingowych nakładanych na gluten pszenny eksportowany do Kanady.</w:t>
      </w:r>
    </w:p>
    <w:p w:rsidR="007E0855" w:rsidRPr="002D3FBC" w:rsidRDefault="007E0855" w:rsidP="0050735A">
      <w:pPr>
        <w:pStyle w:val="xmsolistparagraph"/>
        <w:numPr>
          <w:ilvl w:val="0"/>
          <w:numId w:val="6"/>
        </w:numPr>
        <w:shd w:val="clear" w:color="auto" w:fill="FFFFFF"/>
        <w:spacing w:after="0"/>
        <w:jc w:val="both"/>
        <w:rPr>
          <w:rFonts w:ascii="Georgia" w:hAnsi="Georgia" w:cs="Calibri"/>
          <w:sz w:val="21"/>
          <w:szCs w:val="21"/>
        </w:rPr>
      </w:pPr>
      <w:r>
        <w:rPr>
          <w:rFonts w:ascii="Georgia" w:hAnsi="Georgia"/>
          <w:sz w:val="21"/>
          <w:szCs w:val="21"/>
        </w:rPr>
        <w:t>Instrumentu obrony handlu (np. środki antydumpingowe obowiązujące ryż).</w:t>
      </w:r>
    </w:p>
    <w:p w:rsidR="007E0855" w:rsidRDefault="007E0855" w:rsidP="007E0855">
      <w:pPr>
        <w:pStyle w:val="xmsolistparagraph"/>
        <w:numPr>
          <w:ilvl w:val="0"/>
          <w:numId w:val="6"/>
        </w:numPr>
        <w:shd w:val="clear" w:color="auto" w:fill="FFFFFF"/>
        <w:spacing w:after="0"/>
        <w:jc w:val="both"/>
        <w:rPr>
          <w:rFonts w:ascii="Georgia" w:hAnsi="Georgia" w:cs="Calibri"/>
          <w:sz w:val="21"/>
          <w:szCs w:val="21"/>
        </w:rPr>
      </w:pPr>
      <w:r>
        <w:rPr>
          <w:rFonts w:ascii="Georgia" w:hAnsi="Georgia"/>
          <w:sz w:val="21"/>
          <w:szCs w:val="21"/>
        </w:rPr>
        <w:t>Dodatkowych ustępstw dotyczących drobiu przyznanych w ramach umowy UE-Ukraina.</w:t>
      </w:r>
    </w:p>
    <w:p w:rsidR="007E0855" w:rsidRPr="00A3357E" w:rsidRDefault="007E0855" w:rsidP="007E0855">
      <w:pPr>
        <w:pStyle w:val="xmsolistparagraph"/>
        <w:numPr>
          <w:ilvl w:val="0"/>
          <w:numId w:val="6"/>
        </w:numPr>
        <w:shd w:val="clear" w:color="auto" w:fill="FFFFFF"/>
        <w:spacing w:after="0"/>
        <w:jc w:val="both"/>
        <w:rPr>
          <w:rFonts w:ascii="Georgia" w:hAnsi="Georgia" w:cs="Calibri"/>
          <w:sz w:val="21"/>
          <w:szCs w:val="21"/>
        </w:rPr>
      </w:pPr>
      <w:r>
        <w:rPr>
          <w:rFonts w:ascii="Georgia" w:hAnsi="Georgia"/>
          <w:sz w:val="21"/>
          <w:szCs w:val="21"/>
        </w:rPr>
        <w:t>Itd.</w:t>
      </w:r>
    </w:p>
    <w:p w:rsidR="007E0855" w:rsidRPr="0005027A" w:rsidRDefault="007E0855" w:rsidP="007E0855">
      <w:pPr>
        <w:spacing w:after="200"/>
        <w:rPr>
          <w:szCs w:val="21"/>
        </w:rPr>
      </w:pPr>
    </w:p>
    <w:p w:rsidR="007E0855" w:rsidRPr="0005027A" w:rsidRDefault="007E0855" w:rsidP="007E0855">
      <w:pPr>
        <w:spacing w:after="200"/>
        <w:rPr>
          <w:szCs w:val="21"/>
          <w:lang w:val="en-US"/>
        </w:rPr>
      </w:pPr>
    </w:p>
    <w:p w:rsidR="007E0855" w:rsidRPr="00972CFB" w:rsidRDefault="007E0855" w:rsidP="007E0855">
      <w:pPr>
        <w:spacing w:after="200"/>
        <w:rPr>
          <w:szCs w:val="21"/>
        </w:rPr>
      </w:pPr>
    </w:p>
    <w:p w:rsidR="007E0855" w:rsidRDefault="007E0855" w:rsidP="007E0855">
      <w:pPr>
        <w:tabs>
          <w:tab w:val="left" w:pos="5895"/>
        </w:tabs>
        <w:spacing w:after="200"/>
        <w:rPr>
          <w:szCs w:val="21"/>
        </w:rPr>
      </w:pPr>
    </w:p>
    <w:p w:rsidR="001808C6" w:rsidRDefault="001808C6" w:rsidP="003B6B5E">
      <w:pPr>
        <w:spacing w:after="200"/>
      </w:pPr>
    </w:p>
    <w:p w:rsidR="00D3095C" w:rsidRDefault="00D3095C" w:rsidP="003B6B5E">
      <w:pPr>
        <w:spacing w:after="200"/>
        <w:rPr>
          <w:szCs w:val="21"/>
        </w:rPr>
      </w:pPr>
    </w:p>
    <w:p w:rsidR="00D3095C" w:rsidRDefault="00D3095C" w:rsidP="003B6B5E">
      <w:pPr>
        <w:spacing w:after="200"/>
      </w:pPr>
    </w:p>
    <w:p w:rsidR="009109F9" w:rsidRDefault="009109F9" w:rsidP="003B6B5E">
      <w:pPr>
        <w:tabs>
          <w:tab w:val="left" w:pos="5895"/>
        </w:tabs>
        <w:spacing w:after="200"/>
        <w:rPr>
          <w:szCs w:val="21"/>
        </w:rPr>
      </w:pPr>
    </w:p>
    <w:sectPr w:rsidR="009109F9" w:rsidSect="00476655">
      <w:footerReference w:type="default" r:id="rId8"/>
      <w:headerReference w:type="first" r:id="rId9"/>
      <w:pgSz w:w="11906" w:h="16838" w:code="9"/>
      <w:pgMar w:top="1032" w:right="1826" w:bottom="1797" w:left="1134" w:header="573" w:footer="48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7B03" w:rsidRDefault="00037B03">
      <w:r>
        <w:separator/>
      </w:r>
    </w:p>
  </w:endnote>
  <w:endnote w:type="continuationSeparator" w:id="0">
    <w:p w:rsidR="00037B03" w:rsidRDefault="00037B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Segoe UI Symbol">
    <w:altName w:val="DejaVu Sans Condensed"/>
    <w:charset w:val="00"/>
    <w:family w:val="swiss"/>
    <w:pitch w:val="variable"/>
    <w:sig w:usb0="00000003" w:usb1="1200FFEF" w:usb2="0024C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206" w:rsidRDefault="00064EA2">
    <w:pPr>
      <w:pStyle w:val="Page"/>
      <w:framePr w:wrap="around"/>
    </w:pPr>
    <w:r>
      <w:fldChar w:fldCharType="begin"/>
    </w:r>
    <w:r w:rsidR="008F1B3D">
      <w:instrText xml:space="preserve"> PAGE  \* Arabic  \* MERGEFORMAT </w:instrText>
    </w:r>
    <w:r>
      <w:fldChar w:fldCharType="separate"/>
    </w:r>
    <w:r w:rsidR="00484AAD">
      <w:rPr>
        <w:noProof/>
      </w:rPr>
      <w:t>6</w:t>
    </w:r>
    <w:r>
      <w:fldChar w:fldCharType="end"/>
    </w:r>
  </w:p>
  <w:p w:rsidR="00975206" w:rsidRDefault="00975206">
    <w:pPr>
      <w:pStyle w:val="NumPage"/>
      <w:framePr w:wrap="around"/>
    </w:pPr>
    <w:r>
      <w:t xml:space="preserve">| </w:t>
    </w:r>
    <w:fldSimple w:instr=" NUMPAGES  \* Arabic  \* MERGEFORMAT ">
      <w:r w:rsidR="00484AAD">
        <w:rPr>
          <w:noProof/>
        </w:rPr>
        <w:t>6</w:t>
      </w:r>
    </w:fldSimple>
  </w:p>
  <w:p w:rsidR="00975206" w:rsidRDefault="00975206">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7B03" w:rsidRDefault="00037B03">
      <w:r>
        <w:separator/>
      </w:r>
    </w:p>
  </w:footnote>
  <w:footnote w:type="continuationSeparator" w:id="0">
    <w:p w:rsidR="00037B03" w:rsidRDefault="00037B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206" w:rsidRDefault="00064EA2">
    <w:pPr>
      <w:pStyle w:val="Nagwek"/>
    </w:pPr>
    <w:r>
      <w:pict>
        <v:line id="_x0000_s2050" style="position:absolute;z-index:251658240;mso-position-horizontal-relative:page;mso-position-vertical-relative:page" from="14.2pt,420.9pt" to="28.35pt,420.9pt" strokecolor="#6b7213" strokeweight=".15pt">
          <w10:wrap anchorx="page" anchory="page"/>
          <w10:anchorlock/>
        </v:line>
      </w:pict>
    </w:r>
    <w:r>
      <w:pict>
        <v:line id="_x0000_s2049" style="position:absolute;z-index:251657216;mso-position-horizontal-relative:page;mso-position-vertical-relative:page" from="14.2pt,297.6pt" to="28.35pt,297.6pt" strokecolor="#ca6d05" strokeweight=".15pt">
          <w10:wrap anchorx="page" anchory="page"/>
          <w10:anchorlock/>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C7477"/>
    <w:multiLevelType w:val="hybridMultilevel"/>
    <w:tmpl w:val="05840B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nsid w:val="0AAC1E3B"/>
    <w:multiLevelType w:val="hybridMultilevel"/>
    <w:tmpl w:val="5B16F5C6"/>
    <w:lvl w:ilvl="0" w:tplc="F7481FB2">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0BF5702B"/>
    <w:multiLevelType w:val="hybridMultilevel"/>
    <w:tmpl w:val="F91C5506"/>
    <w:lvl w:ilvl="0" w:tplc="20000003">
      <w:start w:val="1"/>
      <w:numFmt w:val="bullet"/>
      <w:lvlText w:val="o"/>
      <w:lvlJc w:val="left"/>
      <w:pPr>
        <w:ind w:left="1440" w:hanging="360"/>
      </w:pPr>
      <w:rPr>
        <w:rFonts w:ascii="Courier New" w:hAnsi="Courier New" w:cs="Courier New"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
    <w:nsid w:val="23B50F03"/>
    <w:multiLevelType w:val="hybridMultilevel"/>
    <w:tmpl w:val="515EE4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nsid w:val="29BB3537"/>
    <w:multiLevelType w:val="hybridMultilevel"/>
    <w:tmpl w:val="933A84D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6EDC4699"/>
    <w:multiLevelType w:val="hybridMultilevel"/>
    <w:tmpl w:val="205EF8A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1"/>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stylePaneFormatFilter w:val="08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726DAF"/>
    <w:rsid w:val="000248B5"/>
    <w:rsid w:val="00037B03"/>
    <w:rsid w:val="000504D8"/>
    <w:rsid w:val="00064EA2"/>
    <w:rsid w:val="000A3B81"/>
    <w:rsid w:val="000F3750"/>
    <w:rsid w:val="00101C5F"/>
    <w:rsid w:val="00160602"/>
    <w:rsid w:val="0017761F"/>
    <w:rsid w:val="001808C6"/>
    <w:rsid w:val="001D2686"/>
    <w:rsid w:val="0020404E"/>
    <w:rsid w:val="002078EF"/>
    <w:rsid w:val="0023173E"/>
    <w:rsid w:val="002436E7"/>
    <w:rsid w:val="002A4C57"/>
    <w:rsid w:val="002D3FBC"/>
    <w:rsid w:val="0032356D"/>
    <w:rsid w:val="003805F2"/>
    <w:rsid w:val="00396B85"/>
    <w:rsid w:val="003B6B5E"/>
    <w:rsid w:val="003C4022"/>
    <w:rsid w:val="003D6C0D"/>
    <w:rsid w:val="003E092C"/>
    <w:rsid w:val="003E1C9E"/>
    <w:rsid w:val="00405810"/>
    <w:rsid w:val="00436BC8"/>
    <w:rsid w:val="004550E9"/>
    <w:rsid w:val="00476655"/>
    <w:rsid w:val="00484AAD"/>
    <w:rsid w:val="004E04B9"/>
    <w:rsid w:val="00532438"/>
    <w:rsid w:val="00583A1E"/>
    <w:rsid w:val="00595C23"/>
    <w:rsid w:val="005C7B67"/>
    <w:rsid w:val="006610DC"/>
    <w:rsid w:val="0069738C"/>
    <w:rsid w:val="00723198"/>
    <w:rsid w:val="00726DAF"/>
    <w:rsid w:val="00761EDE"/>
    <w:rsid w:val="00783AEB"/>
    <w:rsid w:val="00785A03"/>
    <w:rsid w:val="00796E73"/>
    <w:rsid w:val="007A32B9"/>
    <w:rsid w:val="007B07FF"/>
    <w:rsid w:val="007C3556"/>
    <w:rsid w:val="007E0855"/>
    <w:rsid w:val="007E2E20"/>
    <w:rsid w:val="007E3842"/>
    <w:rsid w:val="00801521"/>
    <w:rsid w:val="00813AD5"/>
    <w:rsid w:val="008F1B3D"/>
    <w:rsid w:val="009109F9"/>
    <w:rsid w:val="00917F6A"/>
    <w:rsid w:val="00972CFB"/>
    <w:rsid w:val="00975206"/>
    <w:rsid w:val="009B0972"/>
    <w:rsid w:val="00A13CDE"/>
    <w:rsid w:val="00A22631"/>
    <w:rsid w:val="00A27C10"/>
    <w:rsid w:val="00A76728"/>
    <w:rsid w:val="00A852E5"/>
    <w:rsid w:val="00AA24B9"/>
    <w:rsid w:val="00AB75D0"/>
    <w:rsid w:val="00AC2AAA"/>
    <w:rsid w:val="00AC2CB1"/>
    <w:rsid w:val="00AE14BE"/>
    <w:rsid w:val="00B04AA3"/>
    <w:rsid w:val="00B64EE0"/>
    <w:rsid w:val="00B73310"/>
    <w:rsid w:val="00BA2D3E"/>
    <w:rsid w:val="00BB65D7"/>
    <w:rsid w:val="00BE2219"/>
    <w:rsid w:val="00C23061"/>
    <w:rsid w:val="00C8725E"/>
    <w:rsid w:val="00C9024E"/>
    <w:rsid w:val="00CD06D3"/>
    <w:rsid w:val="00CD1BFF"/>
    <w:rsid w:val="00CD5024"/>
    <w:rsid w:val="00D24C21"/>
    <w:rsid w:val="00D3095C"/>
    <w:rsid w:val="00D34C9E"/>
    <w:rsid w:val="00D52ABC"/>
    <w:rsid w:val="00D6762B"/>
    <w:rsid w:val="00D85835"/>
    <w:rsid w:val="00DE1382"/>
    <w:rsid w:val="00E149B7"/>
    <w:rsid w:val="00E45B89"/>
    <w:rsid w:val="00E72E7A"/>
    <w:rsid w:val="00EE69C9"/>
    <w:rsid w:val="00EF513C"/>
    <w:rsid w:val="00F56364"/>
    <w:rsid w:val="00F61EAE"/>
    <w:rsid w:val="00F82336"/>
    <w:rsid w:val="00F85B2A"/>
    <w:rsid w:val="00FD7702"/>
  </w:rsids>
  <m:mathPr>
    <m:mathFont m:val="Cambria Math"/>
    <m:brkBin m:val="before"/>
    <m:brkBinSub m:val="--"/>
    <m:smallFrac m:val="off"/>
    <m:dispDef/>
    <m:lMargin m:val="0"/>
    <m:rMargin m:val="0"/>
    <m:defJc m:val="centerGroup"/>
    <m:wrapIndent m:val="1440"/>
    <m:intLim m:val="subSup"/>
    <m:naryLim m:val="undOvr"/>
  </m:mathPr>
  <w:attachedSchema w:val="http://schemas.microsoft.com/office/word/2010/wordprocessingCanvas"/>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ny">
    <w:name w:val="Normal"/>
    <w:qFormat/>
    <w:rsid w:val="00A76728"/>
    <w:pPr>
      <w:spacing w:line="260" w:lineRule="atLeast"/>
    </w:pPr>
    <w:rPr>
      <w:rFonts w:ascii="Georgia" w:hAnsi="Georgia"/>
      <w:kern w:val="4"/>
      <w:sz w:val="21"/>
      <w:szCs w:val="24"/>
      <w:lang w:eastAsia="de-DE"/>
    </w:rPr>
  </w:style>
  <w:style w:type="paragraph" w:styleId="Nagwek1">
    <w:name w:val="heading 1"/>
    <w:basedOn w:val="Normalny"/>
    <w:next w:val="Normalny"/>
    <w:qFormat/>
    <w:rsid w:val="000F3750"/>
    <w:pPr>
      <w:keepNext/>
      <w:keepLines/>
      <w:spacing w:before="240" w:after="240" w:line="240" w:lineRule="auto"/>
      <w:jc w:val="both"/>
      <w:outlineLvl w:val="0"/>
    </w:pPr>
    <w:rPr>
      <w:b/>
      <w:caps/>
      <w:kern w:val="28"/>
      <w:sz w:val="24"/>
      <w:szCs w:val="20"/>
      <w:lang w:eastAsia="en-US"/>
    </w:rPr>
  </w:style>
  <w:style w:type="paragraph" w:styleId="Nagwek2">
    <w:name w:val="heading 2"/>
    <w:basedOn w:val="Nagwek1"/>
    <w:next w:val="Normalny"/>
    <w:qFormat/>
    <w:rsid w:val="000F3750"/>
    <w:pPr>
      <w:ind w:left="720" w:hanging="720"/>
      <w:outlineLvl w:val="1"/>
    </w:pPr>
    <w:rPr>
      <w:i/>
      <w:caps w:val="0"/>
    </w:rPr>
  </w:style>
  <w:style w:type="paragraph" w:styleId="Nagwek3">
    <w:name w:val="heading 3"/>
    <w:basedOn w:val="Nagwek2"/>
    <w:next w:val="Normalny"/>
    <w:qFormat/>
    <w:rsid w:val="000F3750"/>
    <w:pPr>
      <w:ind w:left="1440"/>
      <w:outlineLvl w:val="2"/>
    </w:pPr>
    <w:rPr>
      <w:i w:val="0"/>
      <w:sz w:val="21"/>
    </w:rPr>
  </w:style>
  <w:style w:type="paragraph" w:styleId="Nagwek4">
    <w:name w:val="heading 4"/>
    <w:basedOn w:val="Nagwek3"/>
    <w:next w:val="Normalny"/>
    <w:qFormat/>
    <w:rsid w:val="00AA24B9"/>
    <w:pPr>
      <w:outlineLvl w:val="3"/>
    </w:pPr>
  </w:style>
  <w:style w:type="paragraph" w:styleId="Nagwek5">
    <w:name w:val="heading 5"/>
    <w:basedOn w:val="Nagwek4"/>
    <w:next w:val="Nagwek4"/>
    <w:qFormat/>
    <w:rsid w:val="00AA24B9"/>
    <w:pPr>
      <w:outlineLvl w:val="4"/>
    </w:pPr>
  </w:style>
  <w:style w:type="paragraph" w:styleId="Nagwek6">
    <w:name w:val="heading 6"/>
    <w:basedOn w:val="Nagwek5"/>
    <w:next w:val="Normalny"/>
    <w:qFormat/>
    <w:rsid w:val="00AA24B9"/>
    <w:pPr>
      <w:outlineLvl w:val="5"/>
    </w:pPr>
  </w:style>
  <w:style w:type="paragraph" w:styleId="Nagwek7">
    <w:name w:val="heading 7"/>
    <w:basedOn w:val="Nagwek6"/>
    <w:next w:val="Normalny"/>
    <w:qFormat/>
    <w:rsid w:val="00AA24B9"/>
    <w:pPr>
      <w:outlineLvl w:val="6"/>
    </w:pPr>
  </w:style>
  <w:style w:type="paragraph" w:styleId="Nagwek8">
    <w:name w:val="heading 8"/>
    <w:basedOn w:val="Nagwek7"/>
    <w:next w:val="Normalny"/>
    <w:qFormat/>
    <w:rsid w:val="00AA24B9"/>
    <w:pPr>
      <w:outlineLvl w:val="7"/>
    </w:pPr>
  </w:style>
  <w:style w:type="paragraph" w:styleId="Nagwek9">
    <w:name w:val="heading 9"/>
    <w:basedOn w:val="Nagwek8"/>
    <w:next w:val="Normalny"/>
    <w:qFormat/>
    <w:rsid w:val="00AA24B9"/>
    <w:pPr>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726DAF"/>
    <w:pPr>
      <w:tabs>
        <w:tab w:val="center" w:pos="4536"/>
        <w:tab w:val="right" w:pos="9072"/>
      </w:tabs>
    </w:pPr>
  </w:style>
  <w:style w:type="paragraph" w:styleId="Stopka">
    <w:name w:val="footer"/>
    <w:basedOn w:val="Normalny"/>
    <w:rsid w:val="00726DAF"/>
    <w:pPr>
      <w:tabs>
        <w:tab w:val="center" w:pos="4536"/>
        <w:tab w:val="right" w:pos="9072"/>
      </w:tabs>
      <w:spacing w:line="240" w:lineRule="atLeast"/>
    </w:pPr>
    <w:rPr>
      <w:rFonts w:ascii="Tahoma" w:hAnsi="Tahoma"/>
      <w:noProof/>
      <w:sz w:val="16"/>
    </w:rPr>
  </w:style>
  <w:style w:type="table" w:styleId="Tabela-Siatka">
    <w:name w:val="Table Grid"/>
    <w:basedOn w:val="Standardowy"/>
    <w:rsid w:val="00726DAF"/>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gina">
    <w:name w:val="Pagina"/>
    <w:basedOn w:val="Normalny"/>
    <w:rsid w:val="00726DAF"/>
    <w:pPr>
      <w:framePr w:w="709" w:h="312" w:hRule="exact" w:hSpace="181" w:wrap="around" w:vAnchor="page" w:hAnchor="page" w:x="10689" w:y="15401" w:anchorLock="1"/>
    </w:pPr>
  </w:style>
  <w:style w:type="paragraph" w:customStyle="1" w:styleId="Page">
    <w:name w:val="Page"/>
    <w:basedOn w:val="Pagina"/>
    <w:rsid w:val="00726DAF"/>
    <w:pPr>
      <w:framePr w:wrap="around" w:x="10060"/>
      <w:jc w:val="right"/>
    </w:pPr>
  </w:style>
  <w:style w:type="paragraph" w:customStyle="1" w:styleId="NumPage">
    <w:name w:val="NumPage"/>
    <w:basedOn w:val="Pagina"/>
    <w:rsid w:val="00726DAF"/>
    <w:pPr>
      <w:framePr w:wrap="around" w:x="10819"/>
    </w:pPr>
  </w:style>
  <w:style w:type="paragraph" w:customStyle="1" w:styleId="Subject">
    <w:name w:val="Subject"/>
    <w:basedOn w:val="Normalny"/>
    <w:rsid w:val="00726DAF"/>
    <w:rPr>
      <w:b/>
    </w:rPr>
  </w:style>
  <w:style w:type="paragraph" w:customStyle="1" w:styleId="white">
    <w:name w:val="white"/>
    <w:basedOn w:val="Normalny"/>
    <w:rsid w:val="00726DAF"/>
    <w:pPr>
      <w:spacing w:line="240" w:lineRule="auto"/>
    </w:pPr>
    <w:rPr>
      <w:color w:val="FFFFFF"/>
      <w:sz w:val="2"/>
      <w:szCs w:val="2"/>
    </w:rPr>
  </w:style>
  <w:style w:type="paragraph" w:styleId="Tekstdymka">
    <w:name w:val="Balloon Text"/>
    <w:basedOn w:val="Normalny"/>
    <w:rsid w:val="00726DAF"/>
    <w:rPr>
      <w:rFonts w:ascii="Tahoma" w:hAnsi="Tahoma" w:cs="Tahoma"/>
      <w:sz w:val="16"/>
      <w:szCs w:val="16"/>
    </w:rPr>
  </w:style>
  <w:style w:type="paragraph" w:customStyle="1" w:styleId="Address">
    <w:name w:val="Address"/>
    <w:basedOn w:val="Normalny"/>
    <w:rsid w:val="00AC2AAA"/>
    <w:pPr>
      <w:keepLines/>
      <w:spacing w:after="120" w:line="240" w:lineRule="auto"/>
      <w:ind w:left="5954"/>
      <w:jc w:val="both"/>
    </w:pPr>
    <w:rPr>
      <w:kern w:val="22"/>
      <w:szCs w:val="20"/>
      <w:lang w:eastAsia="en-US"/>
    </w:rPr>
  </w:style>
  <w:style w:type="paragraph" w:customStyle="1" w:styleId="DocumentID">
    <w:name w:val="Document ID"/>
    <w:basedOn w:val="Normalny"/>
    <w:rsid w:val="00AA24B9"/>
    <w:pPr>
      <w:keepLines/>
      <w:tabs>
        <w:tab w:val="left" w:pos="5103"/>
      </w:tabs>
      <w:spacing w:after="120" w:line="240" w:lineRule="auto"/>
      <w:jc w:val="both"/>
    </w:pPr>
    <w:rPr>
      <w:kern w:val="28"/>
      <w:sz w:val="22"/>
      <w:szCs w:val="20"/>
      <w:lang w:eastAsia="en-US"/>
    </w:rPr>
  </w:style>
  <w:style w:type="paragraph" w:customStyle="1" w:styleId="DoubleSignature">
    <w:name w:val="DoubleSignature"/>
    <w:basedOn w:val="Address"/>
    <w:rsid w:val="009B0972"/>
    <w:pPr>
      <w:tabs>
        <w:tab w:val="left" w:pos="5103"/>
      </w:tabs>
      <w:ind w:left="0"/>
    </w:pPr>
  </w:style>
  <w:style w:type="paragraph" w:customStyle="1" w:styleId="FaxHeader">
    <w:name w:val="Fax Header"/>
    <w:basedOn w:val="Normalny"/>
    <w:next w:val="Normalny"/>
    <w:rsid w:val="009B0972"/>
    <w:pPr>
      <w:keepLines/>
      <w:spacing w:before="120" w:after="120" w:line="240" w:lineRule="auto"/>
      <w:jc w:val="both"/>
    </w:pPr>
    <w:rPr>
      <w:kern w:val="28"/>
      <w:szCs w:val="20"/>
      <w:lang w:eastAsia="en-US"/>
    </w:rPr>
  </w:style>
  <w:style w:type="paragraph" w:customStyle="1" w:styleId="Logo">
    <w:name w:val="Logo"/>
    <w:basedOn w:val="Normalny"/>
    <w:rsid w:val="009B0972"/>
    <w:pPr>
      <w:keepLines/>
      <w:framePr w:w="10773" w:wrap="notBeside" w:vAnchor="page" w:hAnchor="page" w:xAlign="center" w:y="568"/>
      <w:spacing w:after="120" w:line="240" w:lineRule="auto"/>
      <w:jc w:val="center"/>
    </w:pPr>
    <w:rPr>
      <w:kern w:val="28"/>
      <w:szCs w:val="20"/>
      <w:lang w:eastAsia="en-US"/>
    </w:rPr>
  </w:style>
  <w:style w:type="paragraph" w:styleId="Podtytu">
    <w:name w:val="Subtitle"/>
    <w:basedOn w:val="Tytu"/>
    <w:qFormat/>
    <w:rsid w:val="000F3750"/>
    <w:pPr>
      <w:spacing w:before="0"/>
    </w:pPr>
    <w:rPr>
      <w:bCs/>
      <w:i/>
      <w:sz w:val="28"/>
    </w:rPr>
  </w:style>
  <w:style w:type="paragraph" w:styleId="Tytu">
    <w:name w:val="Title"/>
    <w:basedOn w:val="Normalny"/>
    <w:qFormat/>
    <w:rsid w:val="000F3750"/>
    <w:pPr>
      <w:keepLines/>
      <w:spacing w:before="240" w:after="240" w:line="240" w:lineRule="auto"/>
      <w:jc w:val="center"/>
    </w:pPr>
    <w:rPr>
      <w:b/>
      <w:caps/>
      <w:kern w:val="28"/>
      <w:sz w:val="32"/>
      <w:szCs w:val="20"/>
      <w:lang w:eastAsia="en-US"/>
    </w:rPr>
  </w:style>
  <w:style w:type="paragraph" w:styleId="Akapitzlist">
    <w:name w:val="List Paragraph"/>
    <w:basedOn w:val="Normalny"/>
    <w:qFormat/>
    <w:rsid w:val="007E0855"/>
    <w:pPr>
      <w:ind w:left="720"/>
    </w:pPr>
    <w:rPr>
      <w:lang w:eastAsia="en-GB"/>
    </w:rPr>
  </w:style>
  <w:style w:type="character" w:styleId="Hipercze">
    <w:name w:val="Hyperlink"/>
    <w:rsid w:val="007E0855"/>
    <w:rPr>
      <w:color w:val="0563C1"/>
      <w:u w:val="single"/>
    </w:rPr>
  </w:style>
  <w:style w:type="paragraph" w:customStyle="1" w:styleId="xmsolistparagraph">
    <w:name w:val="x_msolistparagraph"/>
    <w:basedOn w:val="Normalny"/>
    <w:rsid w:val="007E0855"/>
    <w:pPr>
      <w:spacing w:before="100" w:beforeAutospacing="1" w:after="100" w:afterAutospacing="1" w:line="240" w:lineRule="auto"/>
    </w:pPr>
    <w:rPr>
      <w:rFonts w:ascii="Times New Roman" w:hAnsi="Times New Roman"/>
      <w:kern w:val="0"/>
      <w:sz w:val="24"/>
      <w:lang w:eastAsia="fr-BE"/>
    </w:rPr>
  </w:style>
  <w:style w:type="paragraph" w:customStyle="1" w:styleId="xmsonormal">
    <w:name w:val="x_msonormal"/>
    <w:basedOn w:val="Normalny"/>
    <w:rsid w:val="007E0855"/>
    <w:pPr>
      <w:spacing w:before="100" w:beforeAutospacing="1" w:after="100" w:afterAutospacing="1" w:line="240" w:lineRule="auto"/>
    </w:pPr>
    <w:rPr>
      <w:rFonts w:ascii="Times New Roman" w:hAnsi="Times New Roman"/>
      <w:kern w:val="0"/>
      <w:sz w:val="24"/>
      <w:lang w:eastAsia="fr-BE"/>
    </w:rPr>
  </w:style>
</w:styles>
</file>

<file path=word/webSettings.xml><?xml version="1.0" encoding="utf-8"?>
<w:webSettings xmlns:r="http://schemas.openxmlformats.org/officeDocument/2006/relationships" xmlns:w="http://schemas.openxmlformats.org/wordprocessingml/2006/main">
  <w:divs>
    <w:div w:id="156069267">
      <w:bodyDiv w:val="1"/>
      <w:marLeft w:val="1190"/>
      <w:marRight w:val="1190"/>
      <w:marTop w:val="143"/>
      <w:marBottom w:val="143"/>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rade.ec.europa.eu/doclib/docs/2021/february/tradoc_15943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2148</Words>
  <Characters>12891</Characters>
  <Application>Microsoft Office Word</Application>
  <DocSecurity>0</DocSecurity>
  <Lines>107</Lines>
  <Paragraphs>30</Paragraphs>
  <ScaleCrop>false</ScaleCrop>
  <Company>Copa-Cogeca - European Farmers</Company>
  <LinksUpToDate>false</LinksUpToDate>
  <CharactersWithSpaces>15009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
  <dc:creator>*</dc:creator>
  <cp:keywords/>
  <dc:description>Template letter;
Version 002;
2008-09-18;</dc:description>
  <cp:lastModifiedBy>oem</cp:lastModifiedBy>
  <cp:revision>2</cp:revision>
  <cp:lastPrinted>2008-10-28T18:53:00Z</cp:lastPrinted>
  <dcterms:created xsi:type="dcterms:W3CDTF">2021-04-08T14:41:00Z</dcterms:created>
  <dcterms:modified xsi:type="dcterms:W3CDTF">2021-04-08T14:41:00Z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WThreadMemo">
    <vt:lpwstr>BILAT(21)1509:1</vt:lpwstr>
  </property>
</Properties>
</file>