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7400E" w14:textId="77777777" w:rsidR="00860E68" w:rsidRDefault="00860E68" w:rsidP="00860E68">
      <w:pPr>
        <w:widowControl w:val="0"/>
        <w:tabs>
          <w:tab w:val="left" w:pos="5954"/>
        </w:tabs>
        <w:suppressAutoHyphens/>
        <w:autoSpaceDE w:val="0"/>
        <w:spacing w:line="240" w:lineRule="auto"/>
        <w:ind w:right="-9"/>
        <w:rPr>
          <w:rFonts w:eastAsia="Georgia"/>
          <w:kern w:val="0"/>
        </w:rPr>
      </w:pPr>
    </w:p>
    <w:p w14:paraId="15613148" w14:textId="77777777" w:rsidR="00860E68" w:rsidRDefault="00860E68" w:rsidP="00860E68">
      <w:pPr>
        <w:widowControl w:val="0"/>
        <w:tabs>
          <w:tab w:val="left" w:pos="5954"/>
        </w:tabs>
        <w:suppressAutoHyphens/>
        <w:autoSpaceDE w:val="0"/>
        <w:spacing w:line="240" w:lineRule="auto"/>
        <w:ind w:right="-9"/>
        <w:rPr>
          <w:rFonts w:eastAsia="Georgia"/>
          <w:b/>
          <w:kern w:val="0"/>
          <w:lang w:val="pt-PT"/>
        </w:rPr>
      </w:pPr>
      <w:r>
        <w:rPr>
          <w:lang w:val="pt-PT"/>
        </w:rPr>
        <w:t>DA(20)2067:2 -</w:t>
      </w:r>
      <w:r>
        <w:rPr>
          <w:b/>
          <w:lang w:val="pt-PT"/>
        </w:rPr>
        <w:t xml:space="preserve"> </w:t>
      </w:r>
      <w:r>
        <w:rPr>
          <w:lang w:val="pt-PT"/>
        </w:rPr>
        <w:t>RS/BME/rs/va</w:t>
      </w:r>
      <w:r>
        <w:rPr>
          <w:lang w:val="pt-PT"/>
        </w:rPr>
        <w:tab/>
        <w:t>Bruksela, 5 czerwca 2020 r.</w:t>
      </w:r>
    </w:p>
    <w:p w14:paraId="4CAC429D" w14:textId="77777777" w:rsidR="00860E68" w:rsidRDefault="00860E68" w:rsidP="00860E68">
      <w:pPr>
        <w:widowControl w:val="0"/>
        <w:suppressAutoHyphens/>
        <w:autoSpaceDE w:val="0"/>
        <w:spacing w:line="240" w:lineRule="auto"/>
        <w:ind w:right="-9"/>
        <w:rPr>
          <w:rFonts w:eastAsia="Georgia" w:cs="Georgia"/>
          <w:b/>
          <w:kern w:val="0"/>
          <w:sz w:val="32"/>
          <w:szCs w:val="22"/>
          <w:lang w:val="pt-PT" w:eastAsia="zh-CN" w:bidi="en-US"/>
        </w:rPr>
      </w:pPr>
    </w:p>
    <w:p w14:paraId="0784685D" w14:textId="77777777" w:rsidR="00860E68" w:rsidRDefault="00860E68" w:rsidP="00860E68">
      <w:pPr>
        <w:widowControl w:val="0"/>
        <w:suppressAutoHyphens/>
        <w:autoSpaceDE w:val="0"/>
        <w:spacing w:line="240" w:lineRule="auto"/>
        <w:ind w:right="-9"/>
        <w:jc w:val="center"/>
        <w:rPr>
          <w:rFonts w:eastAsia="Georgia"/>
          <w:b/>
          <w:kern w:val="0"/>
          <w:sz w:val="32"/>
          <w:lang w:val="pt-PT"/>
        </w:rPr>
      </w:pPr>
    </w:p>
    <w:p w14:paraId="7DA47DC4" w14:textId="77777777" w:rsidR="00860E68" w:rsidRDefault="00860E68" w:rsidP="00860E68">
      <w:pPr>
        <w:widowControl w:val="0"/>
        <w:suppressAutoHyphens/>
        <w:autoSpaceDE w:val="0"/>
        <w:spacing w:line="240" w:lineRule="auto"/>
        <w:ind w:right="-9"/>
        <w:jc w:val="center"/>
        <w:rPr>
          <w:b/>
          <w:kern w:val="0"/>
          <w:sz w:val="32"/>
        </w:rPr>
      </w:pPr>
      <w:r>
        <w:rPr>
          <w:b/>
          <w:sz w:val="32"/>
        </w:rPr>
        <w:t xml:space="preserve">PROPOZYCJA COPA I COGECA </w:t>
      </w:r>
    </w:p>
    <w:p w14:paraId="2A79BB12" w14:textId="77777777" w:rsidR="00860E68" w:rsidRDefault="00860E68" w:rsidP="00860E68">
      <w:pPr>
        <w:widowControl w:val="0"/>
        <w:suppressAutoHyphens/>
        <w:autoSpaceDE w:val="0"/>
        <w:spacing w:line="240" w:lineRule="auto"/>
        <w:ind w:right="-9"/>
        <w:jc w:val="center"/>
        <w:rPr>
          <w:b/>
          <w:kern w:val="0"/>
          <w:sz w:val="32"/>
        </w:rPr>
      </w:pPr>
      <w:r>
        <w:rPr>
          <w:b/>
          <w:sz w:val="32"/>
        </w:rPr>
        <w:t xml:space="preserve">ODNOŚNIE SYSTEMÓW OZNACZANIA INFORMACJI O WARTOŚCIACH ODŻYWCZYCH </w:t>
      </w:r>
    </w:p>
    <w:p w14:paraId="1B0A668D" w14:textId="77777777" w:rsidR="00860E68" w:rsidRDefault="00860E68" w:rsidP="00860E68">
      <w:pPr>
        <w:spacing w:after="360" w:line="240" w:lineRule="auto"/>
        <w:jc w:val="center"/>
        <w:rPr>
          <w:rFonts w:eastAsia="Calibri"/>
          <w:b/>
          <w:kern w:val="0"/>
          <w:sz w:val="32"/>
        </w:rPr>
      </w:pPr>
      <w:r>
        <w:rPr>
          <w:b/>
          <w:sz w:val="32"/>
        </w:rPr>
        <w:t>Z PRZODU OPAKOWANIA (FOP)</w:t>
      </w:r>
    </w:p>
    <w:p w14:paraId="790CEDDC" w14:textId="77777777" w:rsidR="00860E68" w:rsidRDefault="00860E68" w:rsidP="00860E68">
      <w:pPr>
        <w:spacing w:after="200"/>
        <w:rPr>
          <w:rFonts w:eastAsia="Georgia"/>
          <w:kern w:val="0"/>
        </w:rPr>
      </w:pPr>
      <w:proofErr w:type="spellStart"/>
      <w:r>
        <w:t>Copa</w:t>
      </w:r>
      <w:proofErr w:type="spellEnd"/>
      <w:r>
        <w:t xml:space="preserve"> i </w:t>
      </w:r>
      <w:proofErr w:type="spellStart"/>
      <w:r>
        <w:t>Cogeca</w:t>
      </w:r>
      <w:proofErr w:type="spellEnd"/>
      <w:r>
        <w:t>, jak i europejscy konsumenci, dostrzegają, że kwestia oznaczania informacji o wartościach odżywczych z przodu opakowania (FOP) odgrywa istotną rolę w dyskusjach, które obecnie toczą się w instytucjach europejskich. Wiele państw członkowskich przyjęło pewne dobrowolne systemy oznaczania informacji o wartościach odżywczych z przodu opakowania (FOP) na ich terytorium. Ten temat jest teraz w centrum uwagi jako jeden z priorytetów strategii „Od pola do stołu”</w:t>
      </w:r>
      <w:r>
        <w:rPr>
          <w:spacing w:val="-3"/>
          <w:kern w:val="0"/>
          <w:vertAlign w:val="superscript"/>
        </w:rPr>
        <w:footnoteReference w:id="1"/>
      </w:r>
      <w:r>
        <w:t xml:space="preserve">. Z tego względu </w:t>
      </w:r>
      <w:proofErr w:type="spellStart"/>
      <w:r>
        <w:t>Copa</w:t>
      </w:r>
      <w:proofErr w:type="spellEnd"/>
      <w:r>
        <w:t xml:space="preserve"> i </w:t>
      </w:r>
      <w:proofErr w:type="spellStart"/>
      <w:r>
        <w:t>Cogeca</w:t>
      </w:r>
      <w:proofErr w:type="spellEnd"/>
      <w:r>
        <w:t xml:space="preserve"> chciałaby podkreślić następujące kluczowe zasady, na których powinien opierać się przyszły system oznaczania:</w:t>
      </w:r>
    </w:p>
    <w:p w14:paraId="000E0B6F" w14:textId="77777777" w:rsidR="00860E68" w:rsidRDefault="00860E68" w:rsidP="00860E68">
      <w:pPr>
        <w:widowControl w:val="0"/>
        <w:numPr>
          <w:ilvl w:val="0"/>
          <w:numId w:val="1"/>
        </w:numPr>
        <w:tabs>
          <w:tab w:val="num" w:pos="0"/>
          <w:tab w:val="left" w:pos="567"/>
        </w:tabs>
        <w:suppressAutoHyphens/>
        <w:autoSpaceDE w:val="0"/>
        <w:spacing w:before="121" w:line="240" w:lineRule="auto"/>
        <w:ind w:left="567" w:hanging="283"/>
        <w:outlineLvl w:val="0"/>
        <w:rPr>
          <w:b/>
          <w:i/>
          <w:kern w:val="0"/>
          <w:sz w:val="24"/>
        </w:rPr>
      </w:pPr>
      <w:r>
        <w:rPr>
          <w:b/>
          <w:i/>
          <w:sz w:val="24"/>
        </w:rPr>
        <w:t>Pozytywny i niedyskryminujący system oznaczania żywności przy wykorzystaniu kodów barwnych</w:t>
      </w:r>
    </w:p>
    <w:p w14:paraId="35D95434" w14:textId="77777777" w:rsidR="00860E68" w:rsidRDefault="00860E68" w:rsidP="00860E68">
      <w:pPr>
        <w:spacing w:after="200"/>
        <w:ind w:left="567"/>
        <w:rPr>
          <w:rFonts w:eastAsia="Georgia"/>
          <w:kern w:val="0"/>
        </w:rPr>
      </w:pPr>
      <w:r>
        <w:t xml:space="preserve">Aktualnie stosowany system z wykorzystaniem kodów barwnych dyskryminuje pewne kategorie produktów spożywczych, ponieważ w niejasny sposób dzieli on artykuły na te dobre i te złe. Każdy system oznaczania powinien informować i być łatwy do zrozumienia, ale nie powinien być zbyt uproszczony. Stosowanie systemu, który klasyfikuje produkty jako dobre lub złe może doprowadzić do tego, że konsumenci będą stronić od wysokiej jakości, odżywczych produktów, takich jak oliwa z oliwek. Tego typu artykuły spożywcze są zdrowe i zalecane w wielu stylach żywienia, które zostały dokładnie przeanalizowane z punktu widzenia ich odżywczości. Ten rodzaj sprzecznego oznaczania informacji z przodu opakowania oznacza również stygmatyzację określonych produktów, które historycznie są częścią naszej gastronomii i tradycji wiejskiej, i które, spożywane w odpowiednich ilościach, mogą odgrywać kluczową rolę w zbilansowanej diecie. Dlatego też popieramy system oznaczania informacji z przodu opakowania, który nie piętnuje konkretnych środków spożywczych. Europejski system w szczególności nie powinien bezpośrednio ani pośrednio zagrażać europejskim produktom żywnościowym o wysokiej jakości - np. </w:t>
      </w:r>
      <w:proofErr w:type="spellStart"/>
      <w:r>
        <w:t>ChNP</w:t>
      </w:r>
      <w:proofErr w:type="spellEnd"/>
      <w:r>
        <w:t xml:space="preserve">, </w:t>
      </w:r>
      <w:proofErr w:type="spellStart"/>
      <w:r>
        <w:t>ChOG</w:t>
      </w:r>
      <w:proofErr w:type="spellEnd"/>
      <w:r>
        <w:t>, GTS, które w przeciwieństwie do produktów wysoko przetworzonych nie mogą mieć zmienionego składu i muszą przestrzegać surowych kodeksów dyscyplinarnych właściwych dla tradycyjnej produkcji. Ponadto, jeśli programy jakości będą zagrożone, oznaczałoby to zaprzepaszczenie wysiłków Komisji Europejskiej na rzecz promocji tych produktów zarówno w Unii Europejskiej, jak i za granicą.</w:t>
      </w:r>
    </w:p>
    <w:p w14:paraId="6D800F2E" w14:textId="77777777" w:rsidR="00860E68" w:rsidRDefault="00860E68" w:rsidP="00860E68">
      <w:pPr>
        <w:widowControl w:val="0"/>
        <w:numPr>
          <w:ilvl w:val="0"/>
          <w:numId w:val="1"/>
        </w:numPr>
        <w:tabs>
          <w:tab w:val="num" w:pos="0"/>
          <w:tab w:val="left" w:pos="567"/>
        </w:tabs>
        <w:suppressAutoHyphens/>
        <w:autoSpaceDE w:val="0"/>
        <w:spacing w:before="119" w:line="240" w:lineRule="auto"/>
        <w:ind w:left="1519" w:hanging="1235"/>
        <w:outlineLvl w:val="0"/>
        <w:rPr>
          <w:b/>
          <w:i/>
          <w:kern w:val="0"/>
          <w:sz w:val="24"/>
        </w:rPr>
      </w:pPr>
      <w:r>
        <w:rPr>
          <w:b/>
          <w:i/>
          <w:sz w:val="24"/>
        </w:rPr>
        <w:t>Oparty na nauce i niezależny</w:t>
      </w:r>
    </w:p>
    <w:p w14:paraId="64D33957" w14:textId="77777777" w:rsidR="00860E68" w:rsidRDefault="00860E68" w:rsidP="00860E68">
      <w:pPr>
        <w:spacing w:after="200"/>
        <w:ind w:left="567"/>
      </w:pPr>
      <w:r>
        <w:t xml:space="preserve">Ponieważ żywienie to dyscyplina naukowa, powinno się ją traktować jako osobny temat, oddzielony od innych czynników (np. przekonań osobistych). </w:t>
      </w:r>
      <w:proofErr w:type="spellStart"/>
      <w:r>
        <w:t>Copa</w:t>
      </w:r>
      <w:proofErr w:type="spellEnd"/>
      <w:r>
        <w:t xml:space="preserve"> i </w:t>
      </w:r>
      <w:proofErr w:type="spellStart"/>
      <w:r>
        <w:t>Cogeca</w:t>
      </w:r>
      <w:proofErr w:type="spellEnd"/>
      <w:r>
        <w:t xml:space="preserve"> są przekonane, że Europejski Urząd ds. Bezpieczeństwa Żywności odgrywa kluczową rolę w zakresie odżywiania, ponieważ dostarcza decydentom politycznym solidny, niezależny i wiarygodny wkład, który jest potrzebny do określenia wytycznych żywieniowych w UE. Nie możemy zaakceptować systemów oznaczania z przodu opakowania opracowanych przez prywatne podmioty z łańcucha żywnościowego. Niezależność jest kluczowa, ponieważ odpowiednie odżywianie jest podstawą ochrony zdrowia ludzi. </w:t>
      </w:r>
    </w:p>
    <w:p w14:paraId="164BB286" w14:textId="77777777" w:rsidR="00860E68" w:rsidRDefault="00860E68" w:rsidP="00860E68">
      <w:pPr>
        <w:widowControl w:val="0"/>
        <w:numPr>
          <w:ilvl w:val="0"/>
          <w:numId w:val="1"/>
        </w:numPr>
        <w:tabs>
          <w:tab w:val="num" w:pos="0"/>
          <w:tab w:val="left" w:pos="567"/>
        </w:tabs>
        <w:suppressAutoHyphens/>
        <w:autoSpaceDE w:val="0"/>
        <w:spacing w:before="119" w:line="240" w:lineRule="auto"/>
        <w:ind w:left="1519" w:hanging="1235"/>
        <w:outlineLvl w:val="0"/>
        <w:rPr>
          <w:b/>
          <w:i/>
          <w:kern w:val="0"/>
          <w:sz w:val="24"/>
        </w:rPr>
      </w:pPr>
      <w:r>
        <w:rPr>
          <w:b/>
          <w:i/>
          <w:sz w:val="24"/>
        </w:rPr>
        <w:lastRenderedPageBreak/>
        <w:t>Zharmonizowany i obowiązujący na terenie całej UE</w:t>
      </w:r>
    </w:p>
    <w:p w14:paraId="710C7214" w14:textId="77777777" w:rsidR="00860E68" w:rsidRDefault="00860E68" w:rsidP="00860E68">
      <w:pPr>
        <w:spacing w:after="200"/>
        <w:ind w:left="567"/>
        <w:rPr>
          <w:rFonts w:eastAsia="Georgia"/>
          <w:kern w:val="0"/>
        </w:rPr>
      </w:pPr>
      <w:r>
        <w:t>Obecnie obserwujemy pojawianie się systemów oznaczania z przodu opakowania dla poszczególnych krajów. Rozpowszechnianie się różnych narodowych algorytmów prowadzi do zakłóceń na rynku wewnętrznym. Sytuacja ta jest problematyczna z punktu widzenia swobodnego przepływu dóbr, ponieważ każde oznaczenie musi być dostosowane do państwa członkowskiego, na terenie którego produkt ma być sprzedawany. Brak harmonizacji to również jasna oznaka słabości obecnie obowiązujących systemów oznaczania z przodu opakowania. Każdy europejski system oznaczania z przodu opakowania powinien być zharmonizowany na całym terytorium UE i opracowany według instrukcji opartych na wiedzy naukowej, określonych przez Europejski Urząd ds. Bezpieczeństwa Żywności.</w:t>
      </w:r>
    </w:p>
    <w:p w14:paraId="05815A56" w14:textId="77777777" w:rsidR="00860E68" w:rsidRDefault="00860E68" w:rsidP="00860E68">
      <w:pPr>
        <w:widowControl w:val="0"/>
        <w:numPr>
          <w:ilvl w:val="0"/>
          <w:numId w:val="1"/>
        </w:numPr>
        <w:tabs>
          <w:tab w:val="num" w:pos="0"/>
          <w:tab w:val="left" w:pos="567"/>
        </w:tabs>
        <w:suppressAutoHyphens/>
        <w:autoSpaceDE w:val="0"/>
        <w:spacing w:before="120" w:line="240" w:lineRule="auto"/>
        <w:ind w:left="1519" w:hanging="1235"/>
        <w:outlineLvl w:val="0"/>
        <w:rPr>
          <w:b/>
          <w:i/>
          <w:kern w:val="0"/>
          <w:sz w:val="24"/>
        </w:rPr>
      </w:pPr>
      <w:r>
        <w:rPr>
          <w:b/>
          <w:i/>
          <w:sz w:val="24"/>
        </w:rPr>
        <w:t>Oparty na wytycznych żywieniowych</w:t>
      </w:r>
    </w:p>
    <w:p w14:paraId="4E734C77" w14:textId="77777777" w:rsidR="00860E68" w:rsidRDefault="00860E68" w:rsidP="00860E68">
      <w:pPr>
        <w:spacing w:after="200"/>
        <w:ind w:left="567"/>
        <w:rPr>
          <w:rFonts w:eastAsia="Georgia"/>
          <w:kern w:val="0"/>
        </w:rPr>
      </w:pPr>
      <w:r>
        <w:t>Mimo że państwowe i międzynarodowe wytyczne żywieniowe mogą się trochę różnić w odniesieniu do określonych produktów, spożywanych ilości i wzorców konsumpcji, istnieje szerokie porozumienie dotyczące grup produktów żywnościowych, które są uznawane za kluczowe w prawidłowej diecie. Warto wspomnieć, że nauka o żywieniu coraz bardziej się rozwija oraz jest coraz więcej dostępnej literatury naukowej na ten temat. Informacje te powinno się wziąć pod uwagę i odpowiednio ocenić. Obecnie jesteśmy świadkami rozprzestrzeniania się pozytywnego oznaczania produktów żywnościowych i napojów, które nie zostały nawet uwzględnione w zaleceniach żywieniowych. Oczywiste jest, że niektóre kategorie żywności i napojów uznaje się za niezastąpione i niezbędne do utrzymania zdrowia człowieka, a inne nie. Należy zezwalać na pozytywne etykiety tylko w przypadku produktów żywnościowych i napojów, które mieszczą się w wytycznych żywieniowych opartych na wiedzy.</w:t>
      </w:r>
    </w:p>
    <w:p w14:paraId="3849460D" w14:textId="77777777" w:rsidR="00860E68" w:rsidRDefault="00860E68" w:rsidP="00860E68">
      <w:pPr>
        <w:widowControl w:val="0"/>
        <w:numPr>
          <w:ilvl w:val="0"/>
          <w:numId w:val="1"/>
        </w:numPr>
        <w:tabs>
          <w:tab w:val="num" w:pos="0"/>
          <w:tab w:val="left" w:pos="567"/>
        </w:tabs>
        <w:suppressAutoHyphens/>
        <w:autoSpaceDE w:val="0"/>
        <w:spacing w:before="119" w:line="240" w:lineRule="auto"/>
        <w:ind w:left="1519" w:hanging="1235"/>
        <w:outlineLvl w:val="0"/>
        <w:rPr>
          <w:b/>
          <w:i/>
          <w:kern w:val="0"/>
          <w:sz w:val="24"/>
        </w:rPr>
      </w:pPr>
      <w:r>
        <w:rPr>
          <w:b/>
          <w:i/>
          <w:sz w:val="24"/>
        </w:rPr>
        <w:t>Oparty na kompleksowej ocenie „matrycy żywnościowej”</w:t>
      </w:r>
    </w:p>
    <w:p w14:paraId="6E112BE0" w14:textId="77777777" w:rsidR="00860E68" w:rsidRDefault="00860E68" w:rsidP="00860E68">
      <w:pPr>
        <w:spacing w:after="200"/>
        <w:ind w:left="567"/>
        <w:rPr>
          <w:rFonts w:eastAsia="Georgia"/>
          <w:kern w:val="0"/>
        </w:rPr>
      </w:pPr>
      <w:r>
        <w:t>Każdy produkt żywnościowy i napój zawiera różne makro i mikroelementy. Tworząc system oznaczania informacji o wartościach odżywczych, powinno się kompleksowo ocenić żywność, nie opierając się wyłącznie na wybranych składnikach odżywczych. Warto zwrócić uwagę na ostatnie badania. Pokazują one, że zdrowotne korzyści produktu wynikają z synergii i powiązań wewnątrz całej „matrycy żywnościowej”</w:t>
      </w:r>
      <w:r>
        <w:rPr>
          <w:kern w:val="0"/>
          <w:vertAlign w:val="superscript"/>
        </w:rPr>
        <w:footnoteReference w:id="2"/>
      </w:r>
      <w:r>
        <w:t xml:space="preserve"> produktu, a nie są określone przez pojedyncze przyswajane składniki odżywcze.</w:t>
      </w:r>
    </w:p>
    <w:p w14:paraId="23CD1156" w14:textId="77777777" w:rsidR="00860E68" w:rsidRDefault="00860E68" w:rsidP="00860E68">
      <w:pPr>
        <w:widowControl w:val="0"/>
        <w:numPr>
          <w:ilvl w:val="0"/>
          <w:numId w:val="1"/>
        </w:numPr>
        <w:tabs>
          <w:tab w:val="num" w:pos="0"/>
          <w:tab w:val="left" w:pos="567"/>
        </w:tabs>
        <w:suppressAutoHyphens/>
        <w:autoSpaceDE w:val="0"/>
        <w:spacing w:before="120" w:line="240" w:lineRule="auto"/>
        <w:ind w:left="1519" w:hanging="1235"/>
        <w:outlineLvl w:val="0"/>
        <w:rPr>
          <w:b/>
          <w:i/>
          <w:kern w:val="0"/>
          <w:sz w:val="24"/>
        </w:rPr>
      </w:pPr>
      <w:r>
        <w:rPr>
          <w:b/>
          <w:i/>
          <w:sz w:val="24"/>
        </w:rPr>
        <w:t>Oparty na porcjach</w:t>
      </w:r>
    </w:p>
    <w:p w14:paraId="0D1EC585" w14:textId="77777777" w:rsidR="00860E68" w:rsidRDefault="00860E68" w:rsidP="00860E68">
      <w:pPr>
        <w:spacing w:after="200"/>
        <w:ind w:left="567"/>
        <w:rPr>
          <w:rFonts w:eastAsia="Georgia"/>
          <w:spacing w:val="-1"/>
          <w:kern w:val="0"/>
        </w:rPr>
      </w:pPr>
      <w:r>
        <w:t xml:space="preserve">Ludzie spożywają porcje, których wielkość jest zależna od kategorii produktu. Z tego względu, każdy system oznaczania z przodu opakowania powinien odnosić się konkretnie do porcji zalecanych przez wytyczne żywieniowe dla każdej kategorii produktów. System ten powinien być zharmonizowany w całej Unii Europejskiej. Należy w jasny sposób informować na etykiecie, że chodzi o określoną ilość produktu (np. „X” gramów). Porcje te powinny zostać określone przez naukową i niezależną agencję, taką jak EFSA, z uwzględnieniem wytycznych żywieniowych i zwyczajów żywieniowych konsumentów. Ocena produktu oparta na standardowych 100 gramach, w momencie kiedy produkt ten jest spożywany w znacznie mniejszych ilościach, wprowadza w błąd i nie pozwala jasno zrozumieć wytycznych żywnościowych. Dlatego też ocena odżywczości danego produktu powinna opierać się na porcjach. Ponadto, jeżeli odniesienie do 100 gramów zawartości składników odżywczych jest przydatne do obliczeń związanych z gotowaniem lub bardzo </w:t>
      </w:r>
      <w:r>
        <w:lastRenderedPageBreak/>
        <w:t>specyficznymi dietami, będzie ono nadal podawane z tyłu opakowania zgodnie z wymogami rozporządzenia (UE) nr 1169/2011.</w:t>
      </w:r>
    </w:p>
    <w:p w14:paraId="708C3869" w14:textId="77777777" w:rsidR="00860E68" w:rsidRDefault="00860E68" w:rsidP="00860E68">
      <w:pPr>
        <w:widowControl w:val="0"/>
        <w:numPr>
          <w:ilvl w:val="0"/>
          <w:numId w:val="1"/>
        </w:numPr>
        <w:tabs>
          <w:tab w:val="num" w:pos="0"/>
          <w:tab w:val="left" w:pos="567"/>
        </w:tabs>
        <w:suppressAutoHyphens/>
        <w:autoSpaceDE w:val="0"/>
        <w:spacing w:before="120" w:line="240" w:lineRule="auto"/>
        <w:ind w:left="1519" w:hanging="1235"/>
        <w:outlineLvl w:val="0"/>
        <w:rPr>
          <w:b/>
          <w:i/>
          <w:kern w:val="0"/>
          <w:sz w:val="24"/>
        </w:rPr>
      </w:pPr>
      <w:r>
        <w:rPr>
          <w:b/>
          <w:i/>
          <w:sz w:val="24"/>
        </w:rPr>
        <w:t>Dobrowolny</w:t>
      </w:r>
    </w:p>
    <w:p w14:paraId="4E5CFDB8" w14:textId="77777777" w:rsidR="00860E68" w:rsidRDefault="00860E68" w:rsidP="00860E68">
      <w:pPr>
        <w:spacing w:after="200"/>
        <w:ind w:left="567"/>
        <w:rPr>
          <w:rFonts w:eastAsia="Georgia"/>
          <w:kern w:val="0"/>
          <w:sz w:val="22"/>
        </w:rPr>
      </w:pPr>
      <w:r>
        <w:rPr>
          <w:sz w:val="22"/>
        </w:rPr>
        <w:t>Każda dodatkowa etykieta może zwiększyć koszty i obciążenia administracyjne, z którymi zmagają się podmioty w łańcuchu żywnościowym. Poza tym, poszczególne partie produktów mogą się od siebie nieznacznie różnić (różne rodzaje produktu albo różne warunki produkcji), co sprawia że trudno jest zastosować taką samą etykietę z przodu opakowania dla wszystkich produktów z tej samej kategorii. Z tego powodu to podmiot w łańcuchu żywnościowym powinien określić, czy zastosowanie etykiety z przodu opakowania jest istotne i spójne z punktu widzenia wartości dodanej, która zostaje zwrócona do łańcucha żywnościowego.</w:t>
      </w:r>
    </w:p>
    <w:p w14:paraId="607E5322" w14:textId="77777777" w:rsidR="00860E68" w:rsidRDefault="00860E68" w:rsidP="00860E68">
      <w:pPr>
        <w:widowControl w:val="0"/>
        <w:suppressAutoHyphens/>
        <w:autoSpaceDE w:val="0"/>
        <w:spacing w:before="18" w:line="240" w:lineRule="auto"/>
        <w:ind w:right="94"/>
        <w:rPr>
          <w:rFonts w:eastAsia="Georgia" w:cs="Georgia"/>
          <w:kern w:val="0"/>
          <w:szCs w:val="21"/>
        </w:rPr>
      </w:pPr>
      <w:r>
        <w:rPr>
          <w:b/>
        </w:rPr>
        <w:t xml:space="preserve">Podsumowując, </w:t>
      </w:r>
      <w:proofErr w:type="spellStart"/>
      <w:r>
        <w:rPr>
          <w:b/>
        </w:rPr>
        <w:t>Copa</w:t>
      </w:r>
      <w:proofErr w:type="spellEnd"/>
      <w:r>
        <w:rPr>
          <w:b/>
        </w:rPr>
        <w:t xml:space="preserve"> i </w:t>
      </w:r>
      <w:proofErr w:type="spellStart"/>
      <w:r>
        <w:rPr>
          <w:b/>
        </w:rPr>
        <w:t>Cogeca</w:t>
      </w:r>
      <w:proofErr w:type="spellEnd"/>
      <w:r>
        <w:rPr>
          <w:b/>
        </w:rPr>
        <w:t xml:space="preserve"> chciałaby podkreślić, że konsumenci, którzy podejmują decyzję o zakupie produktu, nie powinni polegać tylko na etykietach.</w:t>
      </w:r>
      <w:r>
        <w:t xml:space="preserve"> Zdrowe odżywianie jest warunkiem </w:t>
      </w:r>
      <w:r>
        <w:rPr>
          <w:i/>
          <w:iCs/>
        </w:rPr>
        <w:t xml:space="preserve">sine qua non </w:t>
      </w:r>
      <w:r>
        <w:t>dbania o swoje zdrowie.</w:t>
      </w:r>
    </w:p>
    <w:p w14:paraId="694830A4" w14:textId="77777777" w:rsidR="00860E68" w:rsidRDefault="00860E68" w:rsidP="00860E68">
      <w:pPr>
        <w:spacing w:after="200"/>
        <w:rPr>
          <w:rFonts w:eastAsia="Georgia"/>
          <w:kern w:val="0"/>
        </w:rPr>
      </w:pPr>
      <w:r>
        <w:t>Dlatego powtarzamy, że edukowanie konsumentów jest kluczowe dla zrozumienia korzyści wynikających ze spożywania produktów rolnych. Należy włączać te produkty do diety zgodnie z międzynarodowymi wytycznymi co do wzorców i ilości, po poprawnej interpretacji każdego systemu oznaczania z przodu opakowania. Żadna etykieta nie zrekompensuje braku zrozumienia, wiedzy i motywacji potrzebnych do przestrzegania wytycznych żywieniowych, które powinny być opracowane w przyszłości przez Europejski Urząd ds. Bezpieczeństwa Żywności. Jeśli chcemy, by konsumenci odżywiali się zdrowo, potrzebujemy szeroko zakrojonej edukacji i kampanii podnoszących świadomość, skierowanych już do najmłodszych. Kampanie takie powinny również podkreślać, że zdrowe odżywianie jest kluczowym elementem wpływającym na zdrowie. Zbilansowanej diecie powinna zawsze towarzyszyć aktywność fizyczna  i dobre nawyki dotyczące trybu życia.</w:t>
      </w:r>
    </w:p>
    <w:p w14:paraId="6ECCB134" w14:textId="77777777" w:rsidR="00873F85" w:rsidRDefault="00873F85"/>
    <w:sectPr w:rsidR="00873F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D15FC" w14:textId="77777777" w:rsidR="001C6527" w:rsidRDefault="001C6527" w:rsidP="00860E68">
      <w:pPr>
        <w:spacing w:line="240" w:lineRule="auto"/>
      </w:pPr>
      <w:r>
        <w:separator/>
      </w:r>
    </w:p>
  </w:endnote>
  <w:endnote w:type="continuationSeparator" w:id="0">
    <w:p w14:paraId="7892AB1B" w14:textId="77777777" w:rsidR="001C6527" w:rsidRDefault="001C6527" w:rsidP="00860E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C2BA6" w14:textId="77777777" w:rsidR="001C6527" w:rsidRDefault="001C6527" w:rsidP="00860E68">
      <w:pPr>
        <w:spacing w:line="240" w:lineRule="auto"/>
      </w:pPr>
      <w:r>
        <w:separator/>
      </w:r>
    </w:p>
  </w:footnote>
  <w:footnote w:type="continuationSeparator" w:id="0">
    <w:p w14:paraId="1011CF24" w14:textId="77777777" w:rsidR="001C6527" w:rsidRDefault="001C6527" w:rsidP="00860E68">
      <w:pPr>
        <w:spacing w:line="240" w:lineRule="auto"/>
      </w:pPr>
      <w:r>
        <w:continuationSeparator/>
      </w:r>
    </w:p>
  </w:footnote>
  <w:footnote w:id="1">
    <w:p w14:paraId="117EF5FF" w14:textId="77777777" w:rsidR="00860E68" w:rsidRDefault="00860E68" w:rsidP="00860E68">
      <w:pPr>
        <w:pStyle w:val="Tekstprzypisudolnego"/>
        <w:rPr>
          <w:sz w:val="16"/>
        </w:rPr>
      </w:pPr>
      <w:r>
        <w:rPr>
          <w:rStyle w:val="Odwoanieprzypisudolnego"/>
          <w:sz w:val="16"/>
        </w:rPr>
        <w:footnoteRef/>
      </w:r>
      <w:r>
        <w:t xml:space="preserve"> Komunikat Komisji Europejskiej dotyczący strategii „Od pola do stołu” opublikowany 20 maja 2020</w:t>
      </w:r>
      <w:r>
        <w:rPr>
          <w:sz w:val="16"/>
          <w:szCs w:val="16"/>
        </w:rPr>
        <w:t xml:space="preserve"> </w:t>
      </w:r>
      <w:hyperlink r:id="rId1" w:history="1">
        <w:r>
          <w:rPr>
            <w:rStyle w:val="Hipercze"/>
            <w:sz w:val="16"/>
            <w:szCs w:val="16"/>
          </w:rPr>
          <w:t>https://ec.europa.eu/info/sites/info/files/communication-annex-farm-fork-green-deal_en.pdf</w:t>
        </w:r>
      </w:hyperlink>
    </w:p>
  </w:footnote>
  <w:footnote w:id="2">
    <w:p w14:paraId="4EAFF920" w14:textId="77777777" w:rsidR="00860E68" w:rsidRDefault="00860E68" w:rsidP="00860E68">
      <w:pPr>
        <w:spacing w:before="67"/>
        <w:ind w:right="828"/>
        <w:rPr>
          <w:sz w:val="16"/>
          <w:szCs w:val="16"/>
        </w:rPr>
      </w:pPr>
      <w:r>
        <w:rPr>
          <w:rStyle w:val="Odwoanieprzypisudolnego"/>
          <w:sz w:val="16"/>
        </w:rPr>
        <w:footnoteRef/>
      </w:r>
      <w:r>
        <w:rPr>
          <w:i/>
        </w:rPr>
        <w:t xml:space="preserve"> </w:t>
      </w:r>
      <w:r>
        <w:rPr>
          <w:i/>
          <w:sz w:val="16"/>
        </w:rPr>
        <w:t>„Można postrzegać matrycę żywnościową jako fizyczną domenę, która zawiera i/lub wchodzi w interakcję z określonymi składnikami żywności (np. składnikami odżywczymi) przejawiając inne funkcje i zachowania niż składniki będące w izolacji lub stanie wolnym”</w:t>
      </w:r>
      <w:r>
        <w:t xml:space="preserve"> </w:t>
      </w:r>
      <w:r>
        <w:rPr>
          <w:sz w:val="16"/>
        </w:rPr>
        <w:t>(Aguilera,2018)</w:t>
      </w:r>
      <w:hyperlink r:id="rId2" w:history="1">
        <w:r>
          <w:rPr>
            <w:rStyle w:val="Hipercze"/>
            <w:color w:val="0462C1"/>
            <w:sz w:val="16"/>
          </w:rPr>
          <w:t>https://doi.org/</w:t>
        </w:r>
        <w:r>
          <w:rPr>
            <w:rStyle w:val="Hipercze"/>
            <w:smallCaps/>
            <w:color w:val="0462C1"/>
            <w:sz w:val="16"/>
          </w:rPr>
          <w:t>10.1080/</w:t>
        </w:r>
        <w:r>
          <w:rPr>
            <w:rStyle w:val="Hipercze"/>
            <w:color w:val="0462C1"/>
            <w:sz w:val="16"/>
          </w:rPr>
          <w:t>10408398</w:t>
        </w:r>
        <w:r>
          <w:rPr>
            <w:rStyle w:val="Hipercze"/>
            <w:smallCaps/>
            <w:color w:val="0462C1"/>
            <w:sz w:val="16"/>
          </w:rPr>
          <w:t>.2018.1</w:t>
        </w:r>
        <w:r>
          <w:rPr>
            <w:rStyle w:val="Hipercze"/>
            <w:color w:val="0462C1"/>
            <w:sz w:val="16"/>
          </w:rPr>
          <w:t>5</w:t>
        </w:r>
        <w:r>
          <w:rPr>
            <w:rStyle w:val="Hipercze"/>
            <w:smallCaps/>
            <w:color w:val="0462C1"/>
            <w:sz w:val="16"/>
          </w:rPr>
          <w:t>02</w:t>
        </w:r>
        <w:r>
          <w:rPr>
            <w:rStyle w:val="Hipercze"/>
            <w:color w:val="0462C1"/>
            <w:sz w:val="16"/>
          </w:rPr>
          <w:t>743</w:t>
        </w:r>
      </w:hyperlink>
      <w:r>
        <w:rPr>
          <w:sz w:val="16"/>
        </w:rPr>
        <w:t>)</w:t>
      </w:r>
    </w:p>
    <w:p w14:paraId="4FF51106" w14:textId="77777777" w:rsidR="00860E68" w:rsidRDefault="00860E68" w:rsidP="00860E6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68EBA1E"/>
    <w:lvl w:ilvl="0">
      <w:start w:val="1"/>
      <w:numFmt w:val="bullet"/>
      <w:lvlText w:val=""/>
      <w:lvlJc w:val="left"/>
      <w:pPr>
        <w:tabs>
          <w:tab w:val="num" w:pos="2127"/>
        </w:tabs>
        <w:ind w:left="2127" w:firstLine="0"/>
      </w:pPr>
      <w:rPr>
        <w:rFonts w:ascii="Symbol" w:hAnsi="Symbol" w:hint="default"/>
      </w:rPr>
    </w:lvl>
    <w:lvl w:ilvl="1">
      <w:start w:val="1"/>
      <w:numFmt w:val="none"/>
      <w:suff w:val="nothing"/>
      <w:lvlText w:val=""/>
      <w:lvlJc w:val="left"/>
      <w:pPr>
        <w:tabs>
          <w:tab w:val="num" w:pos="2127"/>
        </w:tabs>
        <w:ind w:left="2127" w:firstLine="0"/>
      </w:pPr>
    </w:lvl>
    <w:lvl w:ilvl="2">
      <w:start w:val="1"/>
      <w:numFmt w:val="none"/>
      <w:suff w:val="nothing"/>
      <w:lvlText w:val=""/>
      <w:lvlJc w:val="left"/>
      <w:pPr>
        <w:tabs>
          <w:tab w:val="num" w:pos="2127"/>
        </w:tabs>
        <w:ind w:left="2127" w:firstLine="0"/>
      </w:pPr>
    </w:lvl>
    <w:lvl w:ilvl="3">
      <w:start w:val="1"/>
      <w:numFmt w:val="none"/>
      <w:suff w:val="nothing"/>
      <w:lvlText w:val=""/>
      <w:lvlJc w:val="left"/>
      <w:pPr>
        <w:tabs>
          <w:tab w:val="num" w:pos="2127"/>
        </w:tabs>
        <w:ind w:left="2127" w:firstLine="0"/>
      </w:pPr>
    </w:lvl>
    <w:lvl w:ilvl="4">
      <w:start w:val="1"/>
      <w:numFmt w:val="none"/>
      <w:suff w:val="nothing"/>
      <w:lvlText w:val=""/>
      <w:lvlJc w:val="left"/>
      <w:pPr>
        <w:tabs>
          <w:tab w:val="num" w:pos="2127"/>
        </w:tabs>
        <w:ind w:left="2127" w:firstLine="0"/>
      </w:pPr>
    </w:lvl>
    <w:lvl w:ilvl="5">
      <w:start w:val="1"/>
      <w:numFmt w:val="none"/>
      <w:suff w:val="nothing"/>
      <w:lvlText w:val=""/>
      <w:lvlJc w:val="left"/>
      <w:pPr>
        <w:tabs>
          <w:tab w:val="num" w:pos="2127"/>
        </w:tabs>
        <w:ind w:left="2127" w:firstLine="0"/>
      </w:pPr>
    </w:lvl>
    <w:lvl w:ilvl="6">
      <w:start w:val="1"/>
      <w:numFmt w:val="none"/>
      <w:suff w:val="nothing"/>
      <w:lvlText w:val=""/>
      <w:lvlJc w:val="left"/>
      <w:pPr>
        <w:tabs>
          <w:tab w:val="num" w:pos="2127"/>
        </w:tabs>
        <w:ind w:left="2127" w:firstLine="0"/>
      </w:pPr>
    </w:lvl>
    <w:lvl w:ilvl="7">
      <w:start w:val="1"/>
      <w:numFmt w:val="none"/>
      <w:suff w:val="nothing"/>
      <w:lvlText w:val=""/>
      <w:lvlJc w:val="left"/>
      <w:pPr>
        <w:tabs>
          <w:tab w:val="num" w:pos="2127"/>
        </w:tabs>
        <w:ind w:left="2127" w:firstLine="0"/>
      </w:pPr>
    </w:lvl>
    <w:lvl w:ilvl="8">
      <w:start w:val="1"/>
      <w:numFmt w:val="none"/>
      <w:suff w:val="nothing"/>
      <w:lvlText w:val=""/>
      <w:lvlJc w:val="left"/>
      <w:pPr>
        <w:tabs>
          <w:tab w:val="num" w:pos="2127"/>
        </w:tabs>
        <w:ind w:left="2127" w:firstLine="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68"/>
    <w:rsid w:val="001C6527"/>
    <w:rsid w:val="00860E68"/>
    <w:rsid w:val="00873F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CB55"/>
  <w15:chartTrackingRefBased/>
  <w15:docId w15:val="{11039039-7657-4670-9C64-4B1BC0C3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0E68"/>
    <w:pPr>
      <w:spacing w:after="0" w:line="260" w:lineRule="atLeast"/>
    </w:pPr>
    <w:rPr>
      <w:rFonts w:ascii="Georgia" w:eastAsia="Times New Roman" w:hAnsi="Georgia" w:cs="Times New Roman"/>
      <w:kern w:val="4"/>
      <w:sz w:val="21"/>
      <w:szCs w:val="24"/>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860E68"/>
    <w:rPr>
      <w:color w:val="000080"/>
      <w:u w:val="single"/>
    </w:rPr>
  </w:style>
  <w:style w:type="paragraph" w:styleId="Tekstprzypisudolnego">
    <w:name w:val="footnote text"/>
    <w:basedOn w:val="Normalny"/>
    <w:link w:val="TekstprzypisudolnegoZnak"/>
    <w:semiHidden/>
    <w:unhideWhenUsed/>
    <w:rsid w:val="00860E68"/>
    <w:pPr>
      <w:widowControl w:val="0"/>
      <w:suppressAutoHyphens/>
      <w:autoSpaceDE w:val="0"/>
      <w:spacing w:line="240" w:lineRule="auto"/>
    </w:pPr>
    <w:rPr>
      <w:rFonts w:eastAsia="Georgia" w:cs="Georgia"/>
      <w:kern w:val="0"/>
      <w:sz w:val="20"/>
      <w:szCs w:val="20"/>
      <w:lang w:eastAsia="zh-CN" w:bidi="en-US"/>
    </w:rPr>
  </w:style>
  <w:style w:type="character" w:customStyle="1" w:styleId="TekstprzypisudolnegoZnak">
    <w:name w:val="Tekst przypisu dolnego Znak"/>
    <w:basedOn w:val="Domylnaczcionkaakapitu"/>
    <w:link w:val="Tekstprzypisudolnego"/>
    <w:semiHidden/>
    <w:rsid w:val="00860E68"/>
    <w:rPr>
      <w:rFonts w:ascii="Georgia" w:eastAsia="Georgia" w:hAnsi="Georgia" w:cs="Georgia"/>
      <w:sz w:val="20"/>
      <w:szCs w:val="20"/>
      <w:lang w:eastAsia="zh-CN" w:bidi="en-US"/>
    </w:rPr>
  </w:style>
  <w:style w:type="character" w:styleId="Odwoanieprzypisudolnego">
    <w:name w:val="footnote reference"/>
    <w:semiHidden/>
    <w:unhideWhenUsed/>
    <w:rsid w:val="00860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4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80/10408398.2018.1502743" TargetMode="External"/><Relationship Id="rId1" Type="http://schemas.openxmlformats.org/officeDocument/2006/relationships/hyperlink" Target="https://ec.europa.eu/info/sites/info/files/communication-annex-farm-fork-green-deal_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7124</Characters>
  <Application>Microsoft Office Word</Application>
  <DocSecurity>0</DocSecurity>
  <Lines>59</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2020-06-05T14:29:00Z</dcterms:created>
  <dcterms:modified xsi:type="dcterms:W3CDTF">2020-06-05T14:30:00Z</dcterms:modified>
</cp:coreProperties>
</file>