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B14" w:rsidRDefault="00B86B14" w:rsidP="00B86B14">
      <w:pPr>
        <w:tabs>
          <w:tab w:val="left" w:pos="5954"/>
        </w:tabs>
      </w:pPr>
      <w:proofErr w:type="spellStart"/>
      <w:r>
        <w:t>Copa-Cogeca</w:t>
      </w:r>
      <w:proofErr w:type="spellEnd"/>
      <w:r>
        <w:tab/>
        <w:t>Bruksela, 29 kwietnia 2020 r.</w:t>
      </w:r>
    </w:p>
    <w:p w:rsidR="00B86B14" w:rsidRDefault="00B86B14" w:rsidP="00B86B14">
      <w:pPr>
        <w:spacing w:after="200"/>
        <w:rPr>
          <w:szCs w:val="21"/>
        </w:rPr>
      </w:pPr>
      <w:r>
        <w:fldChar w:fldCharType="begin"/>
      </w:r>
      <w:r>
        <w:instrText xml:space="preserve"> DOCPROPERTY  PWThreadMemo  \* MERGEFORMAT </w:instrText>
      </w:r>
      <w:r>
        <w:fldChar w:fldCharType="separate"/>
      </w:r>
      <w:r>
        <w:rPr>
          <w:szCs w:val="21"/>
        </w:rPr>
        <w:t>COV(20)2738:1</w:t>
      </w:r>
      <w:r>
        <w:rPr>
          <w:szCs w:val="21"/>
        </w:rPr>
        <w:fldChar w:fldCharType="end"/>
      </w:r>
      <w:r>
        <w:t>-DA/</w:t>
      </w:r>
      <w:proofErr w:type="spellStart"/>
      <w:r>
        <w:t>sm</w:t>
      </w:r>
      <w:proofErr w:type="spellEnd"/>
    </w:p>
    <w:p w:rsidR="00B86B14" w:rsidRDefault="00B86B14" w:rsidP="00B86B14">
      <w:pPr>
        <w:tabs>
          <w:tab w:val="left" w:pos="5954"/>
        </w:tabs>
        <w:spacing w:line="240" w:lineRule="auto"/>
      </w:pPr>
      <w:r>
        <w:tab/>
      </w:r>
    </w:p>
    <w:p w:rsidR="00B86B14" w:rsidRDefault="00B86B14" w:rsidP="00B86B14">
      <w:pPr>
        <w:shd w:val="clear" w:color="auto" w:fill="FFFFFF"/>
        <w:spacing w:after="120" w:line="240" w:lineRule="auto"/>
        <w:jc w:val="center"/>
        <w:rPr>
          <w:b/>
          <w:color w:val="000000"/>
          <w:sz w:val="28"/>
          <w:szCs w:val="21"/>
        </w:rPr>
      </w:pPr>
    </w:p>
    <w:p w:rsidR="00B86B14" w:rsidRDefault="00B86B14" w:rsidP="00B86B14">
      <w:pPr>
        <w:shd w:val="clear" w:color="auto" w:fill="FFFFFF"/>
        <w:spacing w:after="120" w:line="240" w:lineRule="auto"/>
        <w:jc w:val="center"/>
        <w:rPr>
          <w:rFonts w:cs="Calibri"/>
          <w:b/>
          <w:color w:val="000000"/>
          <w:sz w:val="28"/>
          <w:szCs w:val="21"/>
        </w:rPr>
      </w:pPr>
      <w:r>
        <w:rPr>
          <w:b/>
          <w:color w:val="000000"/>
          <w:sz w:val="28"/>
          <w:szCs w:val="21"/>
        </w:rPr>
        <w:t>WPŁYW COVID-19 NA SEKTOR ROLNY, LEŚNY I RYBOŁÓWSTWA</w:t>
      </w:r>
    </w:p>
    <w:p w:rsidR="00B86B14" w:rsidRDefault="00B86B14" w:rsidP="00B86B14">
      <w:pPr>
        <w:shd w:val="clear" w:color="auto" w:fill="FFFFFF"/>
        <w:spacing w:after="120" w:line="240" w:lineRule="auto"/>
        <w:rPr>
          <w:rFonts w:cs="Calibri"/>
          <w:color w:val="000000"/>
          <w:szCs w:val="21"/>
          <w:lang w:eastAsia="cs-CZ"/>
        </w:rPr>
      </w:pPr>
    </w:p>
    <w:p w:rsidR="00B86B14" w:rsidRDefault="00B86B14" w:rsidP="00B86B14">
      <w:pPr>
        <w:shd w:val="clear" w:color="auto" w:fill="FFFFFF"/>
        <w:spacing w:after="120" w:line="240" w:lineRule="auto"/>
        <w:jc w:val="center"/>
        <w:rPr>
          <w:b/>
          <w:color w:val="000000"/>
          <w:sz w:val="28"/>
          <w:szCs w:val="21"/>
        </w:rPr>
      </w:pPr>
      <w:r>
        <w:rPr>
          <w:b/>
          <w:color w:val="000000"/>
          <w:sz w:val="28"/>
          <w:szCs w:val="21"/>
        </w:rPr>
        <w:t xml:space="preserve">OCENA COPA I COGECA </w:t>
      </w:r>
    </w:p>
    <w:p w:rsidR="00B86B14" w:rsidRDefault="00B86B14" w:rsidP="00B86B14">
      <w:pPr>
        <w:shd w:val="clear" w:color="auto" w:fill="FFFFFF"/>
        <w:spacing w:after="120" w:line="240" w:lineRule="auto"/>
        <w:jc w:val="center"/>
        <w:rPr>
          <w:rFonts w:cs="Calibri"/>
          <w:b/>
          <w:color w:val="000000"/>
          <w:sz w:val="28"/>
          <w:szCs w:val="21"/>
        </w:rPr>
      </w:pPr>
      <w:r>
        <w:rPr>
          <w:b/>
          <w:color w:val="000000"/>
          <w:sz w:val="28"/>
          <w:szCs w:val="21"/>
        </w:rPr>
        <w:t>15-18 kwietnia 2020 r.</w:t>
      </w:r>
    </w:p>
    <w:p w:rsidR="00B86B14" w:rsidRDefault="00B86B14" w:rsidP="00B86B14">
      <w:pPr>
        <w:shd w:val="clear" w:color="auto" w:fill="FFFFFF"/>
        <w:spacing w:after="120" w:line="240" w:lineRule="auto"/>
        <w:rPr>
          <w:rFonts w:cs="Calibri"/>
          <w:color w:val="000000"/>
          <w:szCs w:val="21"/>
          <w:lang w:eastAsia="cs-CZ"/>
        </w:rPr>
      </w:pPr>
    </w:p>
    <w:p w:rsidR="00B86B14" w:rsidRDefault="00B86B14" w:rsidP="00B86B14">
      <w:pPr>
        <w:shd w:val="clear" w:color="auto" w:fill="FFFFFF"/>
        <w:spacing w:after="120" w:line="240" w:lineRule="auto"/>
        <w:rPr>
          <w:rFonts w:cs="Calibri"/>
          <w:color w:val="000000"/>
          <w:szCs w:val="21"/>
        </w:rPr>
      </w:pPr>
      <w:r>
        <w:t xml:space="preserve">Informujemy, że poniższa notatka stanowi uzupełnienie do oceny </w:t>
      </w:r>
      <w:proofErr w:type="spellStart"/>
      <w:r>
        <w:t>Copa-Cogeca</w:t>
      </w:r>
      <w:proofErr w:type="spellEnd"/>
      <w:r>
        <w:t xml:space="preserve"> </w:t>
      </w:r>
      <w:hyperlink r:id="rId5" w:history="1">
        <w:r>
          <w:rPr>
            <w:rStyle w:val="Hipercze"/>
          </w:rPr>
          <w:t>COV(20)2438 (rev.1)</w:t>
        </w:r>
      </w:hyperlink>
      <w:r>
        <w:t xml:space="preserve"> opublikowanej 16 kwietnia.</w:t>
      </w:r>
      <w:r>
        <w:rPr>
          <w:color w:val="000000"/>
          <w:szCs w:val="21"/>
        </w:rPr>
        <w:t xml:space="preserve"> Prosimy członków </w:t>
      </w:r>
      <w:proofErr w:type="spellStart"/>
      <w:r>
        <w:rPr>
          <w:color w:val="000000"/>
          <w:szCs w:val="21"/>
        </w:rPr>
        <w:t>Copa-Cogeca</w:t>
      </w:r>
      <w:proofErr w:type="spellEnd"/>
      <w:r>
        <w:rPr>
          <w:color w:val="000000"/>
          <w:szCs w:val="21"/>
        </w:rPr>
        <w:t xml:space="preserve"> o regularne sprawdzanie sekcji COV na </w:t>
      </w:r>
      <w:proofErr w:type="spellStart"/>
      <w:r>
        <w:rPr>
          <w:color w:val="000000"/>
          <w:szCs w:val="21"/>
        </w:rPr>
        <w:t>Agri</w:t>
      </w:r>
      <w:proofErr w:type="spellEnd"/>
      <w:r>
        <w:rPr>
          <w:color w:val="000000"/>
          <w:szCs w:val="21"/>
        </w:rPr>
        <w:t xml:space="preserve">-Info. Poniższa analiza odzwierciedla sytuację w łańcuchu rolno-spożywczym: niniejszy dokument jest niewyczerpującym zestawieniem informacji uzyskanych od krajowych organizacji członkowskich </w:t>
      </w:r>
      <w:proofErr w:type="spellStart"/>
      <w:r>
        <w:rPr>
          <w:color w:val="000000"/>
          <w:szCs w:val="21"/>
        </w:rPr>
        <w:t>Copa</w:t>
      </w:r>
      <w:proofErr w:type="spellEnd"/>
      <w:r>
        <w:rPr>
          <w:color w:val="000000"/>
          <w:szCs w:val="21"/>
        </w:rPr>
        <w:t xml:space="preserve"> i </w:t>
      </w:r>
      <w:proofErr w:type="spellStart"/>
      <w:r>
        <w:rPr>
          <w:color w:val="000000"/>
          <w:szCs w:val="21"/>
        </w:rPr>
        <w:t>Cogeca</w:t>
      </w:r>
      <w:proofErr w:type="spellEnd"/>
      <w:r>
        <w:rPr>
          <w:color w:val="000000"/>
          <w:szCs w:val="21"/>
        </w:rPr>
        <w:t xml:space="preserve"> z UE-28.</w:t>
      </w:r>
    </w:p>
    <w:p w:rsidR="00B86B14" w:rsidRDefault="00B86B14" w:rsidP="00B86B14">
      <w:pPr>
        <w:spacing w:after="120" w:line="240" w:lineRule="auto"/>
        <w:rPr>
          <w:b/>
          <w:szCs w:val="21"/>
          <w:u w:val="single"/>
        </w:rPr>
      </w:pPr>
    </w:p>
    <w:p w:rsidR="00B86B14" w:rsidRDefault="00B86B14" w:rsidP="00B86B14">
      <w:pPr>
        <w:tabs>
          <w:tab w:val="left" w:pos="2240"/>
        </w:tabs>
        <w:spacing w:after="120" w:line="240" w:lineRule="auto"/>
        <w:rPr>
          <w:b/>
          <w:szCs w:val="21"/>
          <w:u w:val="single"/>
        </w:rPr>
      </w:pPr>
      <w:r>
        <w:rPr>
          <w:b/>
          <w:szCs w:val="21"/>
          <w:u w:val="single"/>
        </w:rPr>
        <w:t>Wstęp</w:t>
      </w:r>
    </w:p>
    <w:p w:rsidR="00B86B14" w:rsidRDefault="00B86B14" w:rsidP="00B86B14">
      <w:pPr>
        <w:shd w:val="clear" w:color="auto" w:fill="FFFFFF"/>
        <w:spacing w:after="120" w:line="240" w:lineRule="auto"/>
        <w:rPr>
          <w:color w:val="000000"/>
          <w:szCs w:val="21"/>
        </w:rPr>
      </w:pPr>
      <w:r>
        <w:rPr>
          <w:color w:val="000000"/>
          <w:szCs w:val="21"/>
        </w:rPr>
        <w:t xml:space="preserve">Sytuacja w sektorze rolnym wygląda podobnie jak w ostatnich tygodniach. Mimo pandemii COVID-19 europejskim rolnikom i ich spółdzielniom razem z naszymi partnerami z łańcucha rolno-spożywczego jak dotąd udaje się utrzymać stabilne dostawy bezpiecznej, przystępnej cenowo żywności o wysokiej jakości dla milionów obywateli UE . Będziemy dokładać do tego wszelkich starań również w przyszłości. Na tym polega europejskie bezpieczeństwo żywnościowe w praktyce. </w:t>
      </w:r>
    </w:p>
    <w:p w:rsidR="00B86B14" w:rsidRDefault="00B86B14" w:rsidP="00B86B14">
      <w:pPr>
        <w:shd w:val="clear" w:color="auto" w:fill="FFFFFF"/>
        <w:spacing w:after="120" w:line="240" w:lineRule="auto"/>
        <w:rPr>
          <w:color w:val="000000"/>
          <w:szCs w:val="21"/>
        </w:rPr>
      </w:pPr>
      <w:r>
        <w:t>W ubiegłym tygodniu komisarz ds. rolnictwa i rozwoju obszarów wiejskich, Janusz Wojciechowski, ogłosił pakiet rynkowych środków wsparcia dla rolnictwa UE.</w:t>
      </w:r>
      <w:r>
        <w:rPr>
          <w:color w:val="000000"/>
          <w:szCs w:val="21"/>
        </w:rPr>
        <w:t xml:space="preserve"> </w:t>
      </w:r>
      <w:proofErr w:type="spellStart"/>
      <w:r>
        <w:rPr>
          <w:color w:val="000000"/>
          <w:szCs w:val="21"/>
        </w:rPr>
        <w:t>Copa</w:t>
      </w:r>
      <w:proofErr w:type="spellEnd"/>
      <w:r>
        <w:rPr>
          <w:color w:val="000000"/>
          <w:szCs w:val="21"/>
        </w:rPr>
        <w:t xml:space="preserve"> i </w:t>
      </w:r>
      <w:proofErr w:type="spellStart"/>
      <w:r>
        <w:rPr>
          <w:color w:val="000000"/>
          <w:szCs w:val="21"/>
        </w:rPr>
        <w:t>Cogeca</w:t>
      </w:r>
      <w:proofErr w:type="spellEnd"/>
      <w:r>
        <w:rPr>
          <w:color w:val="000000"/>
          <w:szCs w:val="21"/>
        </w:rPr>
        <w:t xml:space="preserve"> uznały go za pierwszy krok we właściwym kierunku. Obecnie priorytetem jest jak najszybsze wdrożenie tych środków. </w:t>
      </w:r>
    </w:p>
    <w:p w:rsidR="00B86B14" w:rsidRDefault="00B86B14" w:rsidP="00B86B14">
      <w:pPr>
        <w:shd w:val="clear" w:color="auto" w:fill="FFFFFF"/>
        <w:spacing w:after="120" w:line="240" w:lineRule="auto"/>
        <w:rPr>
          <w:color w:val="000000"/>
          <w:szCs w:val="21"/>
        </w:rPr>
      </w:pPr>
      <w:r>
        <w:rPr>
          <w:color w:val="000000"/>
          <w:szCs w:val="21"/>
        </w:rPr>
        <w:t xml:space="preserve">Niemniej jednak coraz więcej sektorów rolnych wykazuje wyraźne oznaki zakłócenia rynku w związku ze zmianami we wzorcach konsumpcji. Pewne znaczne zmiany w konsumpcji już mają poważne konsekwencje dla niektórych rynków towarów rolnych. Ten pierwszy zestaw środków podjętych przez Komisję jest oczywiście korzystny, ale niewystarczający, aby ulżyć różnym sektorom (np. kwiaty i rośliny ozdobne, wino, drób, cielęcina, niektóre wysokiej jakości produkty wieprzowe itp.). Trzeba uruchomić konieczne, dodatkowe środki rynkowe finansowane spoza budżetu WPR. Budżet WPR powinien być wykorzystywany przede wszystkim na działalność rolniczą. </w:t>
      </w:r>
    </w:p>
    <w:p w:rsidR="00B86B14" w:rsidRDefault="00B86B14" w:rsidP="00B86B14">
      <w:pPr>
        <w:numPr>
          <w:ilvl w:val="0"/>
          <w:numId w:val="1"/>
        </w:numPr>
        <w:spacing w:after="120" w:line="240" w:lineRule="auto"/>
        <w:contextualSpacing/>
        <w:rPr>
          <w:b/>
          <w:szCs w:val="21"/>
        </w:rPr>
      </w:pPr>
      <w:r>
        <w:rPr>
          <w:b/>
          <w:szCs w:val="21"/>
        </w:rPr>
        <w:t>Zapewnienie sprawnego funkcjonowania jednolitego rynku</w:t>
      </w:r>
    </w:p>
    <w:p w:rsidR="00B86B14" w:rsidRDefault="00B86B14" w:rsidP="00B86B14">
      <w:pPr>
        <w:spacing w:after="120" w:line="240" w:lineRule="auto"/>
        <w:ind w:left="720"/>
        <w:contextualSpacing/>
        <w:rPr>
          <w:b/>
          <w:szCs w:val="21"/>
        </w:rPr>
      </w:pPr>
    </w:p>
    <w:p w:rsidR="00B86B14" w:rsidRDefault="00B86B14" w:rsidP="00B86B14">
      <w:pPr>
        <w:spacing w:after="120" w:line="240" w:lineRule="auto"/>
        <w:rPr>
          <w:rFonts w:cs="Calibri"/>
          <w:color w:val="000000"/>
          <w:szCs w:val="21"/>
        </w:rPr>
      </w:pPr>
      <w:r>
        <w:rPr>
          <w:color w:val="000000"/>
          <w:szCs w:val="21"/>
        </w:rPr>
        <w:t xml:space="preserve">Doceniamy wysiłki Komisji Europejskiej i państw członkowskich mające na celu zapewnienie sprawnego funkcjonowania rynku wewnętrznego. Pomimo tej ciężkiej pracy cały czas napotykamy na pewne trudności w utrzymaniu prawidłowego funkcjonowania łańcucha rolno-spożywczego. </w:t>
      </w:r>
    </w:p>
    <w:p w:rsidR="00B86B14" w:rsidRDefault="00B86B14" w:rsidP="00B86B14">
      <w:pPr>
        <w:spacing w:after="120" w:line="240" w:lineRule="auto"/>
        <w:contextualSpacing/>
        <w:rPr>
          <w:szCs w:val="21"/>
        </w:rPr>
      </w:pPr>
      <w:r>
        <w:t xml:space="preserve">Niedobór siły roboczej nadal stanowi problem dla sektora rolnego, gdyż na chwilę obecną nie wszystkie państwa członkowskie przyjęły wspólne podejście do przepływu pracowników w Europie. Nie wszystkie granice są otwarte, a w przypadku osób, które mogą podróżować, ryzyko obowiązkowej kwarantanny, choroby, a także dostępność krajowych dotacji utrudniają pracodawcom rekrutację pracowników sezonowych. Wolontariusze nie wystarczą, by pokryć zapotrzebowanie na siłę roboczą, zwłaszcza, że potrzeba wykwalifikowanych pracowników. Ponadto pojawiają się wątpliwości co do przydatności „Unijnego planu odnowy gospodarczej” po </w:t>
      </w:r>
      <w:proofErr w:type="spellStart"/>
      <w:r>
        <w:t>koronawirusie</w:t>
      </w:r>
      <w:proofErr w:type="spellEnd"/>
      <w:r>
        <w:t xml:space="preserve"> dla zatrudnienia w sektorze rolnym.</w:t>
      </w:r>
    </w:p>
    <w:p w:rsidR="00B86B14" w:rsidRDefault="00B86B14" w:rsidP="00B86B14">
      <w:pPr>
        <w:spacing w:after="120" w:line="240" w:lineRule="auto"/>
        <w:contextualSpacing/>
        <w:rPr>
          <w:szCs w:val="21"/>
        </w:rPr>
      </w:pPr>
    </w:p>
    <w:p w:rsidR="00B86B14" w:rsidRDefault="00B86B14" w:rsidP="00B86B14">
      <w:pPr>
        <w:numPr>
          <w:ilvl w:val="0"/>
          <w:numId w:val="1"/>
        </w:numPr>
        <w:spacing w:after="120" w:line="240" w:lineRule="auto"/>
        <w:contextualSpacing/>
        <w:rPr>
          <w:b/>
          <w:bCs/>
          <w:szCs w:val="21"/>
        </w:rPr>
      </w:pPr>
      <w:r>
        <w:rPr>
          <w:b/>
          <w:bCs/>
          <w:szCs w:val="21"/>
        </w:rPr>
        <w:lastRenderedPageBreak/>
        <w:t xml:space="preserve">Analiza sektorowa: </w:t>
      </w:r>
    </w:p>
    <w:p w:rsidR="00B86B14" w:rsidRDefault="00B86B14" w:rsidP="00B86B14">
      <w:pPr>
        <w:spacing w:after="120" w:line="240" w:lineRule="auto"/>
        <w:ind w:left="720"/>
        <w:contextualSpacing/>
        <w:rPr>
          <w:b/>
          <w:bCs/>
          <w:szCs w:val="21"/>
        </w:rPr>
      </w:pPr>
    </w:p>
    <w:p w:rsidR="00B86B14" w:rsidRDefault="00B86B14" w:rsidP="00B86B14">
      <w:pPr>
        <w:spacing w:after="120" w:line="240" w:lineRule="auto"/>
        <w:rPr>
          <w:color w:val="000000"/>
          <w:szCs w:val="21"/>
        </w:rPr>
      </w:pPr>
      <w:r>
        <w:rPr>
          <w:color w:val="000000"/>
          <w:szCs w:val="21"/>
        </w:rPr>
        <w:t xml:space="preserve">Sytuacja wielu sektorów jest podobna do tej z ostatnich tygodni. Dodatkowe informacje na temat sytuacji rynkowej w sektorach rolnictwa, leśnictwa, akwakultury i rybołówstwa oraz na temat ukierunkowanych środków rynkowych w sektorze rolnym można uzyskać z wcześniejszych ocen opracowanych przez </w:t>
      </w:r>
      <w:proofErr w:type="spellStart"/>
      <w:r>
        <w:rPr>
          <w:color w:val="000000"/>
          <w:szCs w:val="21"/>
        </w:rPr>
        <w:t>Copa</w:t>
      </w:r>
      <w:proofErr w:type="spellEnd"/>
      <w:r>
        <w:rPr>
          <w:color w:val="000000"/>
          <w:szCs w:val="21"/>
        </w:rPr>
        <w:t xml:space="preserve"> i </w:t>
      </w:r>
      <w:proofErr w:type="spellStart"/>
      <w:r>
        <w:rPr>
          <w:color w:val="000000"/>
          <w:szCs w:val="21"/>
        </w:rPr>
        <w:t>Cogeca</w:t>
      </w:r>
      <w:proofErr w:type="spellEnd"/>
      <w:r>
        <w:rPr>
          <w:color w:val="000000"/>
          <w:szCs w:val="21"/>
        </w:rPr>
        <w:t>.</w:t>
      </w:r>
    </w:p>
    <w:p w:rsidR="00B86B14" w:rsidRDefault="00B86B14" w:rsidP="00B86B14">
      <w:pPr>
        <w:spacing w:after="120" w:line="240" w:lineRule="auto"/>
        <w:rPr>
          <w:b/>
          <w:szCs w:val="21"/>
          <w:u w:val="single"/>
        </w:rPr>
      </w:pPr>
      <w:r>
        <w:rPr>
          <w:b/>
          <w:szCs w:val="21"/>
          <w:u w:val="single"/>
        </w:rPr>
        <w:t xml:space="preserve">Wino </w:t>
      </w:r>
    </w:p>
    <w:p w:rsidR="00B86B14" w:rsidRDefault="00B86B14" w:rsidP="00B86B14">
      <w:pPr>
        <w:spacing w:after="120" w:line="240" w:lineRule="auto"/>
        <w:rPr>
          <w:szCs w:val="21"/>
        </w:rPr>
      </w:pPr>
      <w:r>
        <w:t xml:space="preserve">Sytuacja pogarsza się z każdym dniem. Koniec kryzysu jest bardzo odległy. Sprzedaż detaliczna i internetowa nie pokrywa spadku konsumpcji na rynku wewnętrznym, jak również spadku eksportu (oczekiwany spadek o 14% w porównaniu z rokiem ubiegłym). Gromadzonych jest coraz więcej zapasów, co dotyczy w szczególności produktów o wysokiej wartości. Mimo że z zadowoleniem przyjmujemy propozycje Komisji dotyczące zwiększenia elastyczności środków w ramach krajowych programów wsparcia w sektorze wina, jak również nadzwyczajne środki zaproponowane w ramach art. 219, takie jak destylacja w sytuacjach kryzysowych, prywatne przechowywanie i zielone zbiory, propozycje te są niewystarczające z punktu widzenia budżetu. Nie jest możliwe, aby podmioty były wstanie zrealizować takie środki z pozostających funduszy krajowych programów wsparcia. Grupa robocza aktywnie lobbuje na rzecz dodatkowego budżetu UE w celu sfinansowania proponowanych środków i obecnie omawia długoterminowe narzędzia zarządzania rynkiem, aby nie doszło do załamania się tego sektora.  </w:t>
      </w:r>
    </w:p>
    <w:p w:rsidR="00B86B14" w:rsidRDefault="00B86B14" w:rsidP="00B86B14">
      <w:pPr>
        <w:spacing w:after="120" w:line="240" w:lineRule="auto"/>
        <w:rPr>
          <w:b/>
          <w:szCs w:val="21"/>
          <w:u w:val="single"/>
        </w:rPr>
      </w:pPr>
      <w:r>
        <w:rPr>
          <w:b/>
          <w:szCs w:val="21"/>
          <w:u w:val="single"/>
        </w:rPr>
        <w:t>Ziemniaki</w:t>
      </w:r>
    </w:p>
    <w:p w:rsidR="00B86B14" w:rsidRDefault="00B86B14" w:rsidP="00B86B14">
      <w:pPr>
        <w:spacing w:after="120" w:line="240" w:lineRule="auto"/>
        <w:rPr>
          <w:szCs w:val="21"/>
        </w:rPr>
      </w:pPr>
      <w:r>
        <w:t xml:space="preserve">Aktualnie nadwyżka ziemniaków konsumpcyjnych wynosi 2,780 mln ton. Utracona wartość rynkowa tych nadwyżek szacowana jest na ponad 400 mln EUR. Środki w zakresie elastyczności oraz art. 222 rozporządzenia nr 1308/2013 zezwalające na zawieranie porozumień i podejmowanie decyzji dotyczących środków stabilizacji rynku nie są wystarczające do rozwiązania problemów plantatorów ziemniaka i ich spółdzielni. W latach 2018 i 2019 wystąpiła nadzwyczajna susza. Dlatego też rezerwy gospodarcze rolników zostały wyczerpane. Szybka pomoc w zakresie płynności finansowej i rządowe gwarancje kredytowe mają ogromne znaczenie dla gospodarstw rolnych. Plantatorzy ziemniaka doświadczają zakłóceń konkurencji na rynku UE ze względu na przyznanie krajowej pomocy państwa. Detaliści nie są solidarni. Pragniemy ponownie podkreślić, że Komisja musi zapewnić wsparcie finansowe UE spoza WPR na działania podejmowane przez sektor w ramach art. 222 niniejszego rozporządzenia. Bez wsparcia finansowego UE środki te nie pomogą rynkowi ziemniaczanemu w wielu krajach i mogą doprowadzić do wzmożonego zakłócenia konkurencji.  </w:t>
      </w:r>
    </w:p>
    <w:p w:rsidR="00B86B14" w:rsidRDefault="00B86B14" w:rsidP="00B86B14">
      <w:pPr>
        <w:spacing w:after="120" w:line="240" w:lineRule="auto"/>
        <w:rPr>
          <w:b/>
          <w:szCs w:val="21"/>
          <w:u w:val="single"/>
        </w:rPr>
      </w:pPr>
      <w:r>
        <w:rPr>
          <w:b/>
          <w:szCs w:val="21"/>
          <w:u w:val="single"/>
        </w:rPr>
        <w:t>Zboża</w:t>
      </w:r>
    </w:p>
    <w:p w:rsidR="00B86B14" w:rsidRDefault="00B86B14" w:rsidP="00B86B14">
      <w:pPr>
        <w:spacing w:after="120" w:line="240" w:lineRule="auto"/>
        <w:rPr>
          <w:szCs w:val="21"/>
        </w:rPr>
      </w:pPr>
      <w:r>
        <w:t>W ostatnim tygodniu cena jęczmienia spadła w związku z załamaniem się cen kukurydzy importowanej z krajów trzecich. Umowy producentów jęczmienia browarnianego zostały zmniejszone o 40% ze względu na brak popytu w sektorze napojów. Uruchomiono unijny automatyczny mechanizm obliczania należności celnych przywozowych, w ramach którego cło przywozowe na kukurydzę, sorgo i żyto zostało ustalone na poziomie 5,27 EUR/t począwszy od 27 kwietnia. Powinno to złagodzić sytuację.</w:t>
      </w:r>
    </w:p>
    <w:p w:rsidR="00B86B14" w:rsidRDefault="00B86B14" w:rsidP="00B86B14">
      <w:pPr>
        <w:spacing w:after="120" w:line="240" w:lineRule="auto"/>
        <w:rPr>
          <w:b/>
          <w:szCs w:val="21"/>
          <w:u w:val="single"/>
        </w:rPr>
      </w:pPr>
      <w:r>
        <w:rPr>
          <w:b/>
          <w:szCs w:val="21"/>
          <w:u w:val="single"/>
        </w:rPr>
        <w:t>Cukier</w:t>
      </w:r>
    </w:p>
    <w:p w:rsidR="00B86B14" w:rsidRDefault="00B86B14" w:rsidP="00B86B14">
      <w:pPr>
        <w:spacing w:after="120" w:line="240" w:lineRule="auto"/>
        <w:rPr>
          <w:szCs w:val="21"/>
        </w:rPr>
      </w:pPr>
      <w:r>
        <w:t>Niestety tendencja spadkowa się utrzymuje. Najbardziej niepokojący jest fakt, że od połowy kwietnia ceny cukru na rynkach kasowych UE spadają. Cena parytetu importowego cukru preferencyjnego o zerowej stawce celnej spadła do ok. 350 EUR/t, czyli znacznie poniżej progu referencyjnego UE dla cukru, który wynosi 404,40 EUR/t. Trzeba koniecznie uruchomić  środki ochronne w odniesieniu do przywozu, by nie dopuścić do osłabienia rynku UE przez „tani” cukier.</w:t>
      </w:r>
    </w:p>
    <w:p w:rsidR="00B86B14" w:rsidRDefault="00B86B14" w:rsidP="00B86B14">
      <w:pPr>
        <w:spacing w:after="120" w:line="240" w:lineRule="auto"/>
        <w:rPr>
          <w:b/>
          <w:szCs w:val="21"/>
          <w:u w:val="single"/>
        </w:rPr>
      </w:pPr>
      <w:r>
        <w:rPr>
          <w:b/>
          <w:szCs w:val="21"/>
          <w:u w:val="single"/>
        </w:rPr>
        <w:t>Warzywa i owoce</w:t>
      </w:r>
    </w:p>
    <w:p w:rsidR="00B86B14" w:rsidRDefault="00B86B14" w:rsidP="00B86B14">
      <w:pPr>
        <w:spacing w:after="120" w:line="240" w:lineRule="auto"/>
        <w:rPr>
          <w:szCs w:val="21"/>
        </w:rPr>
      </w:pPr>
      <w:r>
        <w:t xml:space="preserve">Najpoważniejszym problemem pozostaje dostęp do siły roboczej oraz środki dystansowania społecznego. Ich wpływ na funkcjonowanie łańcucha dostaw warzyw i owoców będzie zależał od skuteczności środków wprowadzonych przez państwa członkowskie w celu załagodzenia sytuacji. Aby nie dopuścić do dalszych zakłóceń rynku, organizacje producentów warzyw i owoców potrzebują nadzwyczajnych środków dla łatwo psujących się produktów sezonowych, finansowanych spoza budżetu WPR. Komisja nie przedstawiła jeszcze tego typu propozycji, czym </w:t>
      </w:r>
      <w:r>
        <w:lastRenderedPageBreak/>
        <w:t xml:space="preserve">jesteśmy głęboko rozczarowani. 17 czasowych odstępstw od rozporządzenia delegowanego (UE) 2017/891 nie wystarczy, by rozwiązać problemy, z jakimi borykają się plantatorzy warzyw i owoców oraz ich spółdzielnie. </w:t>
      </w:r>
      <w:proofErr w:type="spellStart"/>
      <w:r>
        <w:t>Copa</w:t>
      </w:r>
      <w:proofErr w:type="spellEnd"/>
      <w:r>
        <w:t xml:space="preserve"> i </w:t>
      </w:r>
      <w:proofErr w:type="spellStart"/>
      <w:r>
        <w:t>Cogeca</w:t>
      </w:r>
      <w:proofErr w:type="spellEnd"/>
      <w:r>
        <w:t xml:space="preserve"> nie mogą zgodzić się na odstępstwa dotyczące odsetka produkcji sprzedanej poza organizacją producentów oraz praw głosu. Należy zwiększyć elastyczność funduszy operacyjnych, tj. kwalifikowalność materiału </w:t>
      </w:r>
      <w:proofErr w:type="spellStart"/>
      <w:r>
        <w:t>rozmnożeniowego</w:t>
      </w:r>
      <w:proofErr w:type="spellEnd"/>
      <w:r>
        <w:t xml:space="preserve"> roślin innych niż wieloletnie oraz sprzętu ochronnego i narzędzi dla pracowników.</w:t>
      </w:r>
    </w:p>
    <w:p w:rsidR="00B86B14" w:rsidRDefault="00B86B14" w:rsidP="00B86B14">
      <w:pPr>
        <w:spacing w:after="120" w:line="240" w:lineRule="auto"/>
        <w:rPr>
          <w:b/>
          <w:szCs w:val="21"/>
          <w:u w:val="single"/>
        </w:rPr>
      </w:pPr>
      <w:r>
        <w:rPr>
          <w:b/>
          <w:szCs w:val="21"/>
          <w:u w:val="single"/>
        </w:rPr>
        <w:t xml:space="preserve">Kwiaty i rośliny ozdobne </w:t>
      </w:r>
    </w:p>
    <w:p w:rsidR="00B86B14" w:rsidRDefault="00B86B14" w:rsidP="00B86B14">
      <w:pPr>
        <w:spacing w:after="120" w:line="240" w:lineRule="auto"/>
        <w:rPr>
          <w:szCs w:val="21"/>
        </w:rPr>
      </w:pPr>
      <w:r>
        <w:t xml:space="preserve">Przyznanie, że sektor ten został mocno dotknięty, zostało przyjęte z zadowoleniem. Naszym zdaniem środki te, w tym wyjątek od zasad konkurencji, wprowadzone na okres 6 miesięcy na podstawie art. 222 rozporządzenia 1308/2013, nie przyniosą żadnej konkretnej i natychmiastowej ulgi przedsiębiorcom z unijnego sektora kwiaciarskiego, którzy borykają się z poważnymi problemami finansowymi, w tym z płynnością finansową i wysokimi kosztami utylizacji. </w:t>
      </w:r>
    </w:p>
    <w:p w:rsidR="00B86B14" w:rsidRDefault="00B86B14" w:rsidP="00B86B14">
      <w:pPr>
        <w:spacing w:after="120" w:line="240" w:lineRule="auto"/>
        <w:rPr>
          <w:b/>
          <w:szCs w:val="21"/>
          <w:u w:val="single"/>
        </w:rPr>
      </w:pPr>
      <w:r>
        <w:rPr>
          <w:b/>
          <w:szCs w:val="21"/>
          <w:u w:val="single"/>
        </w:rPr>
        <w:t>Rośliny oleiste</w:t>
      </w:r>
    </w:p>
    <w:p w:rsidR="00B86B14" w:rsidRDefault="00B86B14" w:rsidP="00B86B14">
      <w:pPr>
        <w:spacing w:after="120" w:line="240" w:lineRule="auto"/>
        <w:rPr>
          <w:szCs w:val="21"/>
        </w:rPr>
      </w:pPr>
      <w:r>
        <w:t xml:space="preserve">Ze względu na załamanie się cen ropy naftowej, wynikające ze spadku popytu w związku z izolacją domową, konsumpcja biodiesla również bardzo zmalała. Kilka zakładów estryfikacji zostało zamkniętych w ciągu ostatnich tygodni. Do tej pory tłocznie pracowały w normalnym tempie, może jednak dojść do akumulacji olejów roślinnych ze względu na spadek popytu. Sektor szuka nowych rynków zbytu (eksport). Istnieje jednak ryzyko, że gromadzone zapasy olejów roślinnych spowodują zmniejszenie tempa tłoczenia. Apelujemy do Komisji o utrzymanie środków antydumpingowych i wyrównawczych wprowadzonych przeciwko przywozowi biodiesla (B99) z USA. </w:t>
      </w:r>
    </w:p>
    <w:p w:rsidR="00B86B14" w:rsidRDefault="00B86B14" w:rsidP="00B86B14">
      <w:pPr>
        <w:spacing w:after="120" w:line="240" w:lineRule="auto"/>
        <w:rPr>
          <w:b/>
          <w:szCs w:val="21"/>
          <w:u w:val="single"/>
        </w:rPr>
      </w:pPr>
      <w:r>
        <w:rPr>
          <w:b/>
          <w:szCs w:val="21"/>
          <w:u w:val="single"/>
        </w:rPr>
        <w:t xml:space="preserve">Len </w:t>
      </w:r>
    </w:p>
    <w:p w:rsidR="00B86B14" w:rsidRDefault="00B86B14" w:rsidP="00B86B14">
      <w:pPr>
        <w:spacing w:after="120" w:line="240" w:lineRule="auto"/>
        <w:rPr>
          <w:szCs w:val="21"/>
        </w:rPr>
      </w:pPr>
      <w:r>
        <w:t>Branża tekstylna, która reprezentuje 90% rynku lnu, ucierpiała i praktycznie znalazła się w zawieszeniu na całym świecie. Zapasy lnu zwiększają się, a właśnie są zasiewane uprawy na 2020 r. Nie wiadomo, czy i kiedy branża wznowi działalność. Grupa robocza omawia aktualnie najskuteczniejsze środki złagodzenia tej trudnej sytuacji rynkowej, jak dopłaty do prywatnego przechowywania.</w:t>
      </w:r>
    </w:p>
    <w:p w:rsidR="00B86B14" w:rsidRDefault="00B86B14" w:rsidP="00B86B14">
      <w:pPr>
        <w:spacing w:after="120" w:line="240" w:lineRule="auto"/>
        <w:rPr>
          <w:b/>
          <w:szCs w:val="21"/>
          <w:u w:val="single"/>
        </w:rPr>
      </w:pPr>
      <w:r>
        <w:rPr>
          <w:b/>
          <w:szCs w:val="21"/>
          <w:u w:val="single"/>
        </w:rPr>
        <w:t xml:space="preserve">Oliwa z oliwek </w:t>
      </w:r>
    </w:p>
    <w:p w:rsidR="00B86B14" w:rsidRDefault="00B86B14" w:rsidP="00B86B14">
      <w:pPr>
        <w:spacing w:after="120" w:line="240" w:lineRule="auto"/>
        <w:rPr>
          <w:szCs w:val="21"/>
        </w:rPr>
      </w:pPr>
      <w:r>
        <w:t xml:space="preserve">Doszło do znacznego spadku konsumpcji ze względu na zamknięcie kanałów zbytu w branży hotelarsko-gastronomicznej, zarówno na rynku wewnętrznym jak i na rynkach eksportowych. Niektóre kraje trzecie narzuciły pewne ograniczenia. Zerwanie pewnych istniejących stosunków handlowych jest źródłem niepokoju. Grupa robocza omawia środki dostępne w ramach WOR, by stawić czoła kryzysowi COVID-19. </w:t>
      </w:r>
    </w:p>
    <w:p w:rsidR="00B86B14" w:rsidRDefault="00B86B14" w:rsidP="00B86B14">
      <w:pPr>
        <w:spacing w:after="120" w:line="240" w:lineRule="auto"/>
        <w:rPr>
          <w:b/>
          <w:szCs w:val="21"/>
          <w:u w:val="single"/>
        </w:rPr>
      </w:pPr>
      <w:r>
        <w:rPr>
          <w:b/>
          <w:szCs w:val="21"/>
          <w:u w:val="single"/>
        </w:rPr>
        <w:t>Produkty mleczarskie</w:t>
      </w:r>
    </w:p>
    <w:p w:rsidR="00B86B14" w:rsidRDefault="00B86B14" w:rsidP="00B86B14">
      <w:pPr>
        <w:autoSpaceDE w:val="0"/>
        <w:autoSpaceDN w:val="0"/>
        <w:adjustRightInd w:val="0"/>
        <w:spacing w:after="120" w:line="240" w:lineRule="auto"/>
        <w:rPr>
          <w:rFonts w:cs="Georgia"/>
          <w:kern w:val="0"/>
          <w:szCs w:val="21"/>
        </w:rPr>
      </w:pPr>
      <w:r>
        <w:t>We wstępnej reakcji zwróciliśmy uwagę na potrzebę uruchomienia odpowiednio finansowanego programu prywatnego przechowywania oraz elastyczności w zakresie otwarcia prywatnego przechowywania na dłuższy okres, jeśli sytuacja by tego wymagała (niewystarczające fundusze na dopłaty do prywatnego przechowywania lub zbyt krótki okres mogą wywrzeć presję na interwencję publiczną).</w:t>
      </w:r>
    </w:p>
    <w:p w:rsidR="00B86B14" w:rsidRDefault="00B86B14" w:rsidP="00B86B14">
      <w:pPr>
        <w:pStyle w:val="p6"/>
        <w:shd w:val="clear" w:color="auto" w:fill="FFFFFF"/>
        <w:spacing w:after="120"/>
        <w:rPr>
          <w:rStyle w:val="s1"/>
          <w:rFonts w:ascii="Georgia" w:hAnsi="Georgia"/>
          <w:b/>
          <w:color w:val="000000"/>
          <w:sz w:val="21"/>
          <w:u w:val="single"/>
        </w:rPr>
      </w:pPr>
      <w:r>
        <w:rPr>
          <w:rStyle w:val="s1"/>
          <w:rFonts w:ascii="Georgia" w:hAnsi="Georgia"/>
          <w:b/>
          <w:color w:val="000000"/>
          <w:sz w:val="21"/>
          <w:szCs w:val="21"/>
          <w:u w:val="single"/>
        </w:rPr>
        <w:t>Sektor mięsa</w:t>
      </w:r>
    </w:p>
    <w:p w:rsidR="00B86B14" w:rsidRDefault="00B86B14" w:rsidP="00B86B14">
      <w:pPr>
        <w:pStyle w:val="p6"/>
        <w:shd w:val="clear" w:color="auto" w:fill="FFFFFF"/>
        <w:spacing w:after="120"/>
        <w:rPr>
          <w:rStyle w:val="s1"/>
          <w:rFonts w:ascii="Georgia" w:hAnsi="Georgia"/>
          <w:color w:val="000000"/>
          <w:sz w:val="21"/>
          <w:szCs w:val="21"/>
        </w:rPr>
      </w:pPr>
      <w:r>
        <w:rPr>
          <w:rStyle w:val="s1"/>
          <w:rFonts w:ascii="Georgia" w:hAnsi="Georgia"/>
          <w:color w:val="000000"/>
          <w:sz w:val="21"/>
          <w:szCs w:val="21"/>
        </w:rPr>
        <w:t>Ogólna sytuacja jest zbliżona do tej z ostatnich tygodni. Nadal przywozi się wiele mięsa (np. wołowiny, mięsa owiec i drobiu). Ze względu na zamknięcie głównych kanałów zbytu (</w:t>
      </w:r>
      <w:proofErr w:type="spellStart"/>
      <w:r>
        <w:rPr>
          <w:rStyle w:val="s1"/>
          <w:rFonts w:ascii="Georgia" w:hAnsi="Georgia"/>
          <w:color w:val="000000"/>
          <w:sz w:val="21"/>
          <w:szCs w:val="21"/>
        </w:rPr>
        <w:t>HoReCa</w:t>
      </w:r>
      <w:proofErr w:type="spellEnd"/>
      <w:r>
        <w:rPr>
          <w:rStyle w:val="s1"/>
          <w:rFonts w:ascii="Georgia" w:hAnsi="Georgia"/>
          <w:color w:val="000000"/>
          <w:sz w:val="21"/>
          <w:szCs w:val="21"/>
        </w:rPr>
        <w:t>) wzrasta presja na wewnętrznym rynku. Produkty importowane, które nie znajdą alternatywnych kanałów sprzedaży, będą mrożone i powrócą na rynek w momencie zniesienia ograniczeń. Wzywamy do uwzględnienia zmian na rynku konsumenckim w zarządzaniu przywozem, a w szczególności kontyngentami taryfowymi.</w:t>
      </w:r>
    </w:p>
    <w:p w:rsidR="00B86B14" w:rsidRDefault="00B86B14" w:rsidP="00B86B14">
      <w:pPr>
        <w:pStyle w:val="p6"/>
        <w:shd w:val="clear" w:color="auto" w:fill="FFFFFF"/>
        <w:spacing w:after="120"/>
        <w:rPr>
          <w:rStyle w:val="s1"/>
          <w:rFonts w:ascii="Georgia" w:hAnsi="Georgia"/>
          <w:sz w:val="21"/>
          <w:szCs w:val="21"/>
        </w:rPr>
      </w:pPr>
      <w:r>
        <w:rPr>
          <w:rStyle w:val="s1"/>
          <w:rFonts w:ascii="Georgia" w:hAnsi="Georgia"/>
          <w:color w:val="000000"/>
          <w:sz w:val="21"/>
          <w:szCs w:val="21"/>
        </w:rPr>
        <w:t xml:space="preserve">Sektor wieprzowiny potrzebuje prywatnego przechowywania pieczonych prosiąt oraz pewnego wsparcia dla niektórych CHNP i CHOG (głównie kraje południowe). Mimo że jesteśmy z zadowoleni z przyznania dopłat do prywatnego przechowywania mięsa owiec i kóz, trzeba również pokryć koszty utrzymania zwierząt w gospodarstwa w związku ze spadkiem popytu wynikającym z zamknięcia sektora </w:t>
      </w:r>
      <w:proofErr w:type="spellStart"/>
      <w:r>
        <w:rPr>
          <w:rStyle w:val="s1"/>
          <w:rFonts w:ascii="Georgia" w:hAnsi="Georgia"/>
          <w:color w:val="000000"/>
          <w:sz w:val="21"/>
          <w:szCs w:val="21"/>
        </w:rPr>
        <w:t>HoReCa</w:t>
      </w:r>
      <w:proofErr w:type="spellEnd"/>
      <w:r>
        <w:rPr>
          <w:rStyle w:val="s1"/>
          <w:rFonts w:ascii="Georgia" w:hAnsi="Georgia"/>
          <w:color w:val="000000"/>
          <w:sz w:val="21"/>
          <w:szCs w:val="21"/>
        </w:rPr>
        <w:t xml:space="preserve"> i pewnych trudności z wywozem.</w:t>
      </w:r>
      <w:r>
        <w:rPr>
          <w:rFonts w:ascii="Georgia" w:hAnsi="Georgia"/>
          <w:sz w:val="21"/>
          <w:szCs w:val="21"/>
        </w:rPr>
        <w:t xml:space="preserve"> </w:t>
      </w:r>
      <w:r>
        <w:rPr>
          <w:rStyle w:val="s1"/>
          <w:rFonts w:ascii="Georgia" w:hAnsi="Georgia"/>
          <w:sz w:val="21"/>
          <w:szCs w:val="21"/>
        </w:rPr>
        <w:t xml:space="preserve">Chociaż z zadowoleniem przyjęliśmy dopłaty do prywatnego przechowywania wołowiny, głęboko ubolewamy, że Komisja </w:t>
      </w:r>
      <w:r>
        <w:rPr>
          <w:rStyle w:val="s1"/>
          <w:rFonts w:ascii="Georgia" w:hAnsi="Georgia"/>
          <w:sz w:val="21"/>
          <w:szCs w:val="21"/>
        </w:rPr>
        <w:lastRenderedPageBreak/>
        <w:t>nie zaproponowała żadnego systemu prywatnego przechowywania cielęciny, która znajduje się w bardzo trudnej sytuacji ze względu na zamknięcie usług gastronomicznych (jej głównego rynku zbytu). Komisja nie przedstawiła ponadto żadnych propozycji dotyczących zarządzania kontyngentami taryfowymi.</w:t>
      </w:r>
    </w:p>
    <w:p w:rsidR="00B86B14" w:rsidRDefault="00B86B14" w:rsidP="00B86B14">
      <w:pPr>
        <w:shd w:val="clear" w:color="auto" w:fill="FFFFFF"/>
        <w:spacing w:after="120" w:line="240" w:lineRule="auto"/>
        <w:rPr>
          <w:color w:val="000000"/>
          <w:u w:val="single"/>
        </w:rPr>
      </w:pPr>
      <w:r>
        <w:rPr>
          <w:b/>
          <w:bCs/>
          <w:color w:val="000000"/>
          <w:szCs w:val="21"/>
          <w:u w:val="single"/>
        </w:rPr>
        <w:t>Bydło rozpłodowe</w:t>
      </w:r>
    </w:p>
    <w:p w:rsidR="00B86B14" w:rsidRDefault="00B86B14" w:rsidP="00B86B14">
      <w:pPr>
        <w:shd w:val="clear" w:color="auto" w:fill="FFFFFF"/>
        <w:spacing w:after="120" w:line="240" w:lineRule="auto"/>
        <w:rPr>
          <w:color w:val="000000"/>
          <w:szCs w:val="21"/>
        </w:rPr>
      </w:pPr>
      <w:r>
        <w:rPr>
          <w:color w:val="000000"/>
          <w:szCs w:val="21"/>
        </w:rPr>
        <w:t>Trudno jest monitorować wyniki w gospodarstwach rolnych, zwłaszcza w krajach, które najbardziej ucierpiały w wyniku epidemii COVID-19. To z kolei ma wpływ na zatrudnienie i zarządzanie krótkoterminowymi pracownikami/technikami, którzy zazwyczaj przeprowadzają takie kontrole. Praca na terenie gospodarstw musi zostać przeorganizowana. Wiele wizyt zostało zastąpionych telekonferencjami. Doszło też do zakłóceń sprzedaży inwentarza rozpłodowego na rynkach. Rodzą się pytania dotyczące zarządzania pracownikami sezonowymi w perspektywie długofalowej, jeśli kryzys zdrowotny się przedłuży i choroba powróci w kolejnych falach.</w:t>
      </w:r>
    </w:p>
    <w:p w:rsidR="00B86B14" w:rsidRDefault="00B86B14" w:rsidP="00B86B14">
      <w:pPr>
        <w:spacing w:after="120" w:line="240" w:lineRule="auto"/>
        <w:rPr>
          <w:b/>
          <w:szCs w:val="21"/>
          <w:u w:val="single"/>
        </w:rPr>
      </w:pPr>
      <w:r>
        <w:rPr>
          <w:b/>
          <w:szCs w:val="21"/>
          <w:u w:val="single"/>
        </w:rPr>
        <w:t>Tytoń</w:t>
      </w:r>
    </w:p>
    <w:p w:rsidR="00B86B14" w:rsidRDefault="00B86B14" w:rsidP="00B86B14">
      <w:pPr>
        <w:spacing w:after="120" w:line="240" w:lineRule="auto"/>
        <w:rPr>
          <w:szCs w:val="21"/>
        </w:rPr>
      </w:pPr>
      <w:r>
        <w:t>Sektor nadal boryka się z problemem dostępu do siły roboczej wynikającym z nowych zasad rządzących logistyką. W pewnych krajach eksport tytoniu jest praktycznie niemożliwy, gdyż inne produkty mają pierwszeństwo w kontrolach celnych. Sektor ma również trudności z dostępem do kontenerów.</w:t>
      </w:r>
    </w:p>
    <w:p w:rsidR="00B86B14" w:rsidRDefault="00B86B14" w:rsidP="00B86B14">
      <w:pPr>
        <w:shd w:val="clear" w:color="auto" w:fill="FFFFFF"/>
        <w:spacing w:after="120" w:line="240" w:lineRule="auto"/>
        <w:rPr>
          <w:color w:val="000000"/>
          <w:kern w:val="0"/>
          <w:szCs w:val="21"/>
        </w:rPr>
      </w:pPr>
      <w:r>
        <w:rPr>
          <w:b/>
          <w:color w:val="000000"/>
          <w:szCs w:val="21"/>
          <w:u w:val="single"/>
        </w:rPr>
        <w:t>Akwakultura</w:t>
      </w:r>
    </w:p>
    <w:p w:rsidR="00B86B14" w:rsidRDefault="00B86B14" w:rsidP="00B86B14">
      <w:pPr>
        <w:shd w:val="clear" w:color="auto" w:fill="FFFFFF"/>
        <w:spacing w:after="120" w:line="240" w:lineRule="auto"/>
        <w:rPr>
          <w:color w:val="000000"/>
          <w:szCs w:val="21"/>
        </w:rPr>
      </w:pPr>
      <w:r>
        <w:rPr>
          <w:color w:val="000000"/>
          <w:szCs w:val="21"/>
        </w:rPr>
        <w:t>Sytuacja rynkowa akwakultury jest nadal niepokojąca, gdyż główny kanał zbytu (</w:t>
      </w:r>
      <w:proofErr w:type="spellStart"/>
      <w:r>
        <w:rPr>
          <w:color w:val="000000"/>
          <w:szCs w:val="21"/>
        </w:rPr>
        <w:t>HoReCa</w:t>
      </w:r>
      <w:proofErr w:type="spellEnd"/>
      <w:r>
        <w:rPr>
          <w:color w:val="000000"/>
          <w:szCs w:val="21"/>
        </w:rPr>
        <w:t xml:space="preserve">) jest zamknięty od ponad miesiąca. Sektor doświadcza wzrostu cen paszy, usług i energii, a także nie ma pełnego dostępu do pracowników sezonowych, zwłaszcza we Włoszech. Jeżeli chodzi o nowe środki w ramach EFMR przyjęte przez Radę i Parlament, zmieniony art. 67 rozporządzenia 508/2014, który przewiduje wsparcie dla organizacji producentów w zakresie przechowywania produktów akwakultury, nie będzie skuteczny, ponieważ w sektorze tym istnieje bardzo niewiele organizacji producentów. Zmieniony art. 55 rozporządzenia 508/2014, który przewiduje rekompensatę dla hodowców akwakultury za dodatkowe koszty przechowywania powstałe w wyniku wystąpienia ogniska COVID-19, może być skuteczny jedynie jeśli zostanie wdrożony przez państwa członkowskie w możliwie najkrótszym terminie. </w:t>
      </w:r>
    </w:p>
    <w:p w:rsidR="00B86B14" w:rsidRDefault="00B86B14" w:rsidP="00B86B14">
      <w:pPr>
        <w:pStyle w:val="p3"/>
        <w:numPr>
          <w:ilvl w:val="0"/>
          <w:numId w:val="2"/>
        </w:numPr>
        <w:shd w:val="clear" w:color="auto" w:fill="FFFFFF"/>
        <w:spacing w:after="120"/>
        <w:rPr>
          <w:rFonts w:ascii="Georgia" w:hAnsi="Georgia"/>
          <w:color w:val="000000"/>
          <w:sz w:val="21"/>
          <w:szCs w:val="21"/>
        </w:rPr>
      </w:pPr>
      <w:r>
        <w:rPr>
          <w:rStyle w:val="s1"/>
          <w:rFonts w:ascii="Georgia" w:hAnsi="Georgia"/>
          <w:b/>
          <w:bCs/>
          <w:color w:val="000000"/>
          <w:sz w:val="21"/>
          <w:szCs w:val="21"/>
        </w:rPr>
        <w:t>Nieuczciwe praktyki handlowe (NPH):</w:t>
      </w:r>
      <w:r>
        <w:rPr>
          <w:rStyle w:val="apple-converted-space"/>
          <w:rFonts w:ascii="Georgia" w:hAnsi="Georgia"/>
          <w:b/>
          <w:bCs/>
          <w:color w:val="000000"/>
          <w:sz w:val="21"/>
          <w:szCs w:val="21"/>
        </w:rPr>
        <w:t> </w:t>
      </w:r>
    </w:p>
    <w:p w:rsidR="00B86B14" w:rsidRDefault="00B86B14" w:rsidP="00B86B14">
      <w:pPr>
        <w:spacing w:after="120" w:line="240" w:lineRule="auto"/>
        <w:rPr>
          <w:szCs w:val="21"/>
        </w:rPr>
      </w:pPr>
      <w:r>
        <w:t>Członkowie w dalszym ciągu zgłaszają częstsze stosowanie NPH. Obejmują one obniżanie cen wypłacanych producentom. Dotyczy to w szczególności produktów łatwo psujących się. Ponadto zgłoszono kilka wprowadzających w błąd przypadków oznaczania kraju pochodzenia. Niektórzy zgłosili stosowanie przez detalistów strategii lub kampanii mających na celu zakłócenie segmentacji produktów (w przypadku pewnych kategorii). Przykładem mogą być zbliżone ceny jaj z wolnego wybiegu i z chowu ściółkowego płacone przez konsumentów. Sytuacja opisana w ubiegłych tygodniach pozostaje bez zmian.</w:t>
      </w:r>
    </w:p>
    <w:p w:rsidR="00B86B14" w:rsidRDefault="00B86B14" w:rsidP="00B86B14">
      <w:pPr>
        <w:shd w:val="clear" w:color="auto" w:fill="FFFFFF"/>
        <w:spacing w:after="120" w:line="240" w:lineRule="auto"/>
        <w:rPr>
          <w:b/>
          <w:color w:val="212121"/>
          <w:szCs w:val="21"/>
          <w:u w:val="single"/>
          <w:lang w:eastAsia="cs-CZ"/>
        </w:rPr>
      </w:pPr>
    </w:p>
    <w:p w:rsidR="00B86B14" w:rsidRDefault="00B86B14" w:rsidP="00B86B14">
      <w:pPr>
        <w:shd w:val="clear" w:color="auto" w:fill="FFFFFF"/>
        <w:spacing w:after="120" w:line="240" w:lineRule="auto"/>
        <w:rPr>
          <w:rFonts w:cs="Calibri"/>
          <w:b/>
          <w:color w:val="212121"/>
          <w:szCs w:val="21"/>
          <w:u w:val="single"/>
        </w:rPr>
      </w:pPr>
      <w:r>
        <w:rPr>
          <w:b/>
          <w:color w:val="212121"/>
          <w:szCs w:val="21"/>
          <w:u w:val="single"/>
        </w:rPr>
        <w:t>Kontekst:</w:t>
      </w:r>
    </w:p>
    <w:p w:rsidR="00B86B14" w:rsidRDefault="00B86B14" w:rsidP="00B86B14">
      <w:pPr>
        <w:shd w:val="clear" w:color="auto" w:fill="FFFFFF"/>
        <w:spacing w:after="120" w:line="240" w:lineRule="auto"/>
        <w:rPr>
          <w:color w:val="212121"/>
          <w:szCs w:val="21"/>
        </w:rPr>
      </w:pPr>
      <w:r>
        <w:rPr>
          <w:color w:val="212121"/>
          <w:szCs w:val="21"/>
        </w:rPr>
        <w:t xml:space="preserve">Poniżej przedstawiamy dodatkowe materiały w sprawie wpływu COVID-19 na rolnictwo dostępne na </w:t>
      </w:r>
      <w:proofErr w:type="spellStart"/>
      <w:r>
        <w:rPr>
          <w:color w:val="212121"/>
          <w:szCs w:val="21"/>
        </w:rPr>
        <w:t>Agri</w:t>
      </w:r>
      <w:proofErr w:type="spellEnd"/>
      <w:r>
        <w:rPr>
          <w:color w:val="212121"/>
          <w:szCs w:val="21"/>
        </w:rPr>
        <w:t>-Info:</w:t>
      </w:r>
    </w:p>
    <w:p w:rsidR="00B86B14" w:rsidRDefault="00B86B14" w:rsidP="00B86B14">
      <w:pPr>
        <w:spacing w:after="120" w:line="240" w:lineRule="auto"/>
        <w:rPr>
          <w:szCs w:val="21"/>
        </w:rPr>
      </w:pPr>
      <w:hyperlink r:id="rId6" w:history="1">
        <w:r>
          <w:rPr>
            <w:rStyle w:val="Hipercze"/>
          </w:rPr>
          <w:t>COV(20)2472 (rev.2)</w:t>
        </w:r>
      </w:hyperlink>
      <w:r>
        <w:t xml:space="preserve"> - Notatka informacyjna nakreślająca środki, o które postulują grupy robocze</w:t>
      </w:r>
    </w:p>
    <w:p w:rsidR="00B86B14" w:rsidRDefault="00B86B14" w:rsidP="00B86B14">
      <w:pPr>
        <w:shd w:val="clear" w:color="auto" w:fill="FFFFFF"/>
        <w:spacing w:after="120" w:line="240" w:lineRule="auto"/>
        <w:rPr>
          <w:rFonts w:cs="Calibri"/>
          <w:color w:val="212121"/>
          <w:szCs w:val="21"/>
        </w:rPr>
      </w:pPr>
      <w:hyperlink r:id="rId7" w:history="1">
        <w:r>
          <w:rPr>
            <w:rStyle w:val="Hipercze"/>
          </w:rPr>
          <w:t>COV(20)2605 (rev.2)</w:t>
        </w:r>
      </w:hyperlink>
      <w:r>
        <w:rPr>
          <w:color w:val="212121"/>
          <w:szCs w:val="21"/>
        </w:rPr>
        <w:t xml:space="preserve"> - Środki COVID-19 wprowadzone w państwach członkowskich na dzień 22 kwietnia</w:t>
      </w:r>
    </w:p>
    <w:p w:rsidR="00B86B14" w:rsidRDefault="00B86B14" w:rsidP="00B86B14">
      <w:pPr>
        <w:spacing w:after="120" w:line="240" w:lineRule="auto"/>
        <w:rPr>
          <w:szCs w:val="21"/>
        </w:rPr>
      </w:pPr>
      <w:hyperlink r:id="rId8" w:history="1">
        <w:r>
          <w:rPr>
            <w:rStyle w:val="Hipercze"/>
          </w:rPr>
          <w:t>CC(20)2569 (rev.1)</w:t>
        </w:r>
      </w:hyperlink>
      <w:r>
        <w:rPr>
          <w:color w:val="212121"/>
          <w:szCs w:val="21"/>
        </w:rPr>
        <w:t xml:space="preserve"> - </w:t>
      </w:r>
      <w:r>
        <w:t>Pismo do komisarza Wojciechowskiego dotyczące jego niedawnego pisma do ministrów rolnictwa z 27 krajów UE w sprawie rozwoju obszarów wiejskich i epidemii COVID-19</w:t>
      </w:r>
    </w:p>
    <w:p w:rsidR="00B86B14" w:rsidRDefault="00B86B14" w:rsidP="00B86B14">
      <w:pPr>
        <w:spacing w:after="120" w:line="240" w:lineRule="auto"/>
        <w:rPr>
          <w:szCs w:val="21"/>
        </w:rPr>
      </w:pPr>
      <w:hyperlink r:id="rId9" w:history="1">
        <w:r>
          <w:rPr>
            <w:rStyle w:val="Hipercze"/>
          </w:rPr>
          <w:t>COV(20)2526 (rev.1)</w:t>
        </w:r>
      </w:hyperlink>
      <w:r>
        <w:t xml:space="preserve"> - COVID-19 - środki dotyczące handlu i rolnictwa wprowadzone w krajach trzecich</w:t>
      </w:r>
    </w:p>
    <w:p w:rsidR="00B86B14" w:rsidRDefault="00B86B14" w:rsidP="00B86B14">
      <w:pPr>
        <w:spacing w:after="120" w:line="240" w:lineRule="auto"/>
        <w:rPr>
          <w:szCs w:val="21"/>
        </w:rPr>
      </w:pPr>
      <w:hyperlink r:id="rId10" w:history="1">
        <w:r>
          <w:rPr>
            <w:rStyle w:val="Hipercze"/>
          </w:rPr>
          <w:t>COV(20)2438 (rev.1)</w:t>
        </w:r>
      </w:hyperlink>
      <w:r>
        <w:t xml:space="preserve"> - wpływ COVID-19 na sektory rolnictwa, leśnictwa i rybołówstwa - ocena </w:t>
      </w:r>
      <w:proofErr w:type="spellStart"/>
      <w:r>
        <w:t>Copa</w:t>
      </w:r>
      <w:proofErr w:type="spellEnd"/>
      <w:r>
        <w:t xml:space="preserve"> i </w:t>
      </w:r>
      <w:proofErr w:type="spellStart"/>
      <w:r>
        <w:t>Cogeca</w:t>
      </w:r>
      <w:proofErr w:type="spellEnd"/>
      <w:r>
        <w:t xml:space="preserve">  (8-14 kwietnia 2020 r.).</w:t>
      </w:r>
    </w:p>
    <w:p w:rsidR="00B86B14" w:rsidRDefault="00B86B14" w:rsidP="00B86B14">
      <w:pPr>
        <w:spacing w:after="120" w:line="240" w:lineRule="auto"/>
        <w:rPr>
          <w:szCs w:val="21"/>
        </w:rPr>
      </w:pPr>
      <w:hyperlink r:id="rId11" w:history="1">
        <w:r>
          <w:rPr>
            <w:rStyle w:val="Hipercze"/>
          </w:rPr>
          <w:t>CC(20)2362 (rev.2)</w:t>
        </w:r>
      </w:hyperlink>
      <w:r>
        <w:t xml:space="preserve"> - COVID-19 a sytuacja rynku ziemniaka</w:t>
      </w:r>
    </w:p>
    <w:p w:rsidR="00B86B14" w:rsidRDefault="00B86B14" w:rsidP="00B86B14">
      <w:pPr>
        <w:spacing w:after="120" w:line="240" w:lineRule="auto"/>
        <w:rPr>
          <w:szCs w:val="21"/>
        </w:rPr>
      </w:pPr>
      <w:hyperlink r:id="rId12" w:history="1">
        <w:r>
          <w:rPr>
            <w:rStyle w:val="Hipercze"/>
          </w:rPr>
          <w:t>CC(20)2682 (rev.1)</w:t>
        </w:r>
      </w:hyperlink>
      <w:r>
        <w:t xml:space="preserve"> - Wniosek Komisji w sprawie zatwierdzenia porozumień i decyzji dotyczących środków stabilizacji rynku w sektorze ziemniaka</w:t>
      </w:r>
    </w:p>
    <w:p w:rsidR="00B86B14" w:rsidRDefault="00B86B14" w:rsidP="00B86B14">
      <w:pPr>
        <w:spacing w:after="120" w:line="240" w:lineRule="auto"/>
        <w:rPr>
          <w:szCs w:val="21"/>
        </w:rPr>
      </w:pPr>
      <w:hyperlink r:id="rId13" w:history="1">
        <w:r>
          <w:rPr>
            <w:rStyle w:val="Hipercze"/>
          </w:rPr>
          <w:t>CC(20)2410 (rev.2)</w:t>
        </w:r>
      </w:hyperlink>
      <w:r>
        <w:t xml:space="preserve"> - COVID-19 a zaopatrzenie UE w białka pochodzenia roślinnego </w:t>
      </w:r>
    </w:p>
    <w:p w:rsidR="00B86B14" w:rsidRDefault="00B86B14" w:rsidP="00B86B14">
      <w:pPr>
        <w:spacing w:after="120" w:line="240" w:lineRule="auto"/>
        <w:rPr>
          <w:szCs w:val="21"/>
        </w:rPr>
      </w:pPr>
      <w:hyperlink r:id="rId14" w:history="1">
        <w:r>
          <w:rPr>
            <w:rStyle w:val="Hipercze"/>
          </w:rPr>
          <w:t>CC(20)2640 (rev.1)</w:t>
        </w:r>
      </w:hyperlink>
      <w:r>
        <w:t xml:space="preserve"> - COVID-19: Tymczasowe odstępstwo - art. 12 ust. 2 rozporządzenia 2017/891</w:t>
      </w:r>
    </w:p>
    <w:p w:rsidR="00B86B14" w:rsidRDefault="00B86B14" w:rsidP="00B86B14">
      <w:pPr>
        <w:spacing w:after="120" w:line="240" w:lineRule="auto"/>
        <w:rPr>
          <w:szCs w:val="21"/>
        </w:rPr>
      </w:pPr>
      <w:hyperlink r:id="rId15" w:history="1">
        <w:r>
          <w:rPr>
            <w:rStyle w:val="Hipercze"/>
          </w:rPr>
          <w:t>FL(20)2097 (rev.2)</w:t>
        </w:r>
      </w:hyperlink>
      <w:r>
        <w:t xml:space="preserve"> - COVID-19 a sytuacja rynku warzyw i owoców</w:t>
      </w:r>
    </w:p>
    <w:p w:rsidR="00222157" w:rsidRDefault="00222157"/>
    <w:sectPr w:rsidR="00222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A7664"/>
    <w:multiLevelType w:val="hybridMultilevel"/>
    <w:tmpl w:val="DC94B79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E3C2C5F"/>
    <w:multiLevelType w:val="hybridMultilevel"/>
    <w:tmpl w:val="4AD437C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14"/>
    <w:rsid w:val="00222157"/>
    <w:rsid w:val="00B8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5CB4E-B6AF-44E7-A6D4-E0C26089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6B14"/>
    <w:pPr>
      <w:spacing w:after="0" w:line="260" w:lineRule="atLeast"/>
    </w:pPr>
    <w:rPr>
      <w:rFonts w:ascii="Georgia" w:eastAsia="Times New Roman" w:hAnsi="Georgia" w:cs="Times New Roman"/>
      <w:kern w:val="4"/>
      <w:sz w:val="21"/>
      <w:szCs w:val="24"/>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B86B14"/>
    <w:rPr>
      <w:color w:val="0563C1"/>
      <w:u w:val="single"/>
    </w:rPr>
  </w:style>
  <w:style w:type="paragraph" w:customStyle="1" w:styleId="p3">
    <w:name w:val="p3"/>
    <w:basedOn w:val="Normalny"/>
    <w:rsid w:val="00B86B14"/>
    <w:pPr>
      <w:spacing w:line="240" w:lineRule="auto"/>
    </w:pPr>
    <w:rPr>
      <w:rFonts w:ascii="Times New Roman" w:eastAsia="Calibri" w:hAnsi="Times New Roman"/>
      <w:kern w:val="0"/>
      <w:sz w:val="24"/>
      <w:lang w:eastAsia="fr-BE"/>
    </w:rPr>
  </w:style>
  <w:style w:type="paragraph" w:customStyle="1" w:styleId="p6">
    <w:name w:val="p6"/>
    <w:basedOn w:val="Normalny"/>
    <w:rsid w:val="00B86B14"/>
    <w:pPr>
      <w:spacing w:line="240" w:lineRule="auto"/>
    </w:pPr>
    <w:rPr>
      <w:rFonts w:ascii="Times New Roman" w:eastAsia="Calibri" w:hAnsi="Times New Roman"/>
      <w:kern w:val="0"/>
      <w:sz w:val="24"/>
      <w:lang w:eastAsia="fr-BE"/>
    </w:rPr>
  </w:style>
  <w:style w:type="character" w:customStyle="1" w:styleId="s1">
    <w:name w:val="s1"/>
    <w:rsid w:val="00B86B14"/>
  </w:style>
  <w:style w:type="character" w:customStyle="1" w:styleId="apple-converted-space">
    <w:name w:val="apple-converted-space"/>
    <w:rsid w:val="00B86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a-cogeca.eu/downloadThread.aspx?threadID=2155405" TargetMode="External"/><Relationship Id="rId13" Type="http://schemas.openxmlformats.org/officeDocument/2006/relationships/hyperlink" Target="http://www.copa-cogeca.eu/downloadThread.aspx?threadID=2155326" TargetMode="External"/><Relationship Id="rId3" Type="http://schemas.openxmlformats.org/officeDocument/2006/relationships/settings" Target="settings.xml"/><Relationship Id="rId7" Type="http://schemas.openxmlformats.org/officeDocument/2006/relationships/hyperlink" Target="http://www.copa-cogeca.eu/downloadThread.aspx?threadID=2155452" TargetMode="External"/><Relationship Id="rId12" Type="http://schemas.openxmlformats.org/officeDocument/2006/relationships/hyperlink" Target="http://www.copa-cogeca.eu/downloadThread.aspx?threadID=215555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pa-cogeca.eu/downloadThread.aspx?threadID=2155625" TargetMode="External"/><Relationship Id="rId11" Type="http://schemas.openxmlformats.org/officeDocument/2006/relationships/hyperlink" Target="http://www.copa-cogeca.eu/downloadThread.aspx?threadID=2155425" TargetMode="External"/><Relationship Id="rId5" Type="http://schemas.openxmlformats.org/officeDocument/2006/relationships/hyperlink" Target="http://www.copa-cogeca.eu/downloadThread.aspx?threadID=2155160" TargetMode="External"/><Relationship Id="rId15" Type="http://schemas.openxmlformats.org/officeDocument/2006/relationships/hyperlink" Target="http://www.copa-cogeca.eu/downloadThread.aspx?threadID=2154913" TargetMode="External"/><Relationship Id="rId10" Type="http://schemas.openxmlformats.org/officeDocument/2006/relationships/hyperlink" Target="http://www.copa-cogeca.eu/downloadThread.aspx?threadID=2155260" TargetMode="External"/><Relationship Id="rId4" Type="http://schemas.openxmlformats.org/officeDocument/2006/relationships/webSettings" Target="webSettings.xml"/><Relationship Id="rId9" Type="http://schemas.openxmlformats.org/officeDocument/2006/relationships/hyperlink" Target="http://www.copa-cogeca.eu/downloadThread.aspx?threadID=2155361" TargetMode="External"/><Relationship Id="rId14" Type="http://schemas.openxmlformats.org/officeDocument/2006/relationships/hyperlink" Target="http://www.copa-cogeca.eu/downloadThread.aspx?threadID=215549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2228</Words>
  <Characters>13371</Characters>
  <Application>Microsoft Office Word</Application>
  <DocSecurity>0</DocSecurity>
  <Lines>111</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2020-05-02T09:50:00Z</dcterms:created>
  <dcterms:modified xsi:type="dcterms:W3CDTF">2020-05-02T09:51:00Z</dcterms:modified>
</cp:coreProperties>
</file>