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690" w:rsidRDefault="00E86690" w:rsidP="00E86690">
      <w:pPr>
        <w:tabs>
          <w:tab w:val="left" w:pos="5954"/>
        </w:tabs>
        <w:spacing w:after="120" w:line="240" w:lineRule="auto"/>
      </w:pPr>
    </w:p>
    <w:p w:rsidR="00E86690" w:rsidRPr="005E1DFB" w:rsidRDefault="00E86690" w:rsidP="00E86690">
      <w:pPr>
        <w:tabs>
          <w:tab w:val="left" w:pos="5954"/>
        </w:tabs>
        <w:spacing w:line="240" w:lineRule="auto"/>
        <w:rPr>
          <w:szCs w:val="21"/>
        </w:rPr>
      </w:pPr>
      <w:r w:rsidRPr="009F3E50">
        <w:fldChar w:fldCharType="begin"/>
      </w:r>
      <w:r w:rsidRPr="00641596">
        <w:instrText xml:space="preserve"> DOCPROPERTY  PWThreadMemo  \* MERGEFORMAT </w:instrText>
      </w:r>
      <w:r w:rsidRPr="009F3E50">
        <w:fldChar w:fldCharType="separate"/>
      </w:r>
      <w:r w:rsidRPr="00641596">
        <w:rPr>
          <w:szCs w:val="21"/>
        </w:rPr>
        <w:t>CC(20)2540:1</w:t>
      </w:r>
      <w:r w:rsidRPr="00F9577C">
        <w:rPr>
          <w:szCs w:val="21"/>
        </w:rPr>
        <w:fldChar w:fldCharType="end"/>
      </w:r>
      <w:r>
        <w:t xml:space="preserve"> – TS/</w:t>
      </w:r>
      <w:proofErr w:type="spellStart"/>
      <w:r>
        <w:t>jg</w:t>
      </w:r>
      <w:proofErr w:type="spellEnd"/>
      <w:r>
        <w:tab/>
        <w:t xml:space="preserve">Sz. P. Wolfgang </w:t>
      </w:r>
      <w:proofErr w:type="spellStart"/>
      <w:r>
        <w:t>Burtscher</w:t>
      </w:r>
      <w:proofErr w:type="spellEnd"/>
      <w:r>
        <w:t xml:space="preserve"> </w:t>
      </w:r>
    </w:p>
    <w:p w:rsidR="00E86690" w:rsidRPr="000008FD" w:rsidRDefault="00E86690" w:rsidP="00E86690">
      <w:pPr>
        <w:tabs>
          <w:tab w:val="left" w:pos="1300"/>
          <w:tab w:val="left" w:pos="5954"/>
        </w:tabs>
        <w:spacing w:line="240" w:lineRule="auto"/>
        <w:rPr>
          <w:rFonts w:eastAsia="Calibri"/>
          <w:kern w:val="0"/>
          <w:szCs w:val="21"/>
        </w:rPr>
      </w:pPr>
      <w:r>
        <w:tab/>
      </w:r>
      <w:r>
        <w:tab/>
        <w:t>Dyrektor generalny DG AGRI</w:t>
      </w:r>
    </w:p>
    <w:p w:rsidR="00E86690" w:rsidRPr="000008FD" w:rsidRDefault="00E86690" w:rsidP="00E86690">
      <w:pPr>
        <w:spacing w:line="240" w:lineRule="auto"/>
        <w:ind w:left="4248" w:firstLine="1706"/>
        <w:rPr>
          <w:rFonts w:eastAsia="Calibri"/>
          <w:kern w:val="0"/>
          <w:szCs w:val="21"/>
        </w:rPr>
      </w:pPr>
      <w:r>
        <w:t>Komisja Europejska</w:t>
      </w:r>
    </w:p>
    <w:p w:rsidR="00E86690" w:rsidRPr="000C33DF" w:rsidRDefault="00E86690" w:rsidP="00E86690">
      <w:pPr>
        <w:spacing w:line="240" w:lineRule="auto"/>
        <w:ind w:left="4248" w:firstLine="1706"/>
        <w:rPr>
          <w:rFonts w:eastAsia="Calibri"/>
          <w:kern w:val="0"/>
          <w:szCs w:val="21"/>
        </w:rPr>
      </w:pPr>
      <w:r>
        <w:t xml:space="preserve">200, </w:t>
      </w:r>
      <w:proofErr w:type="spellStart"/>
      <w:r>
        <w:t>rue</w:t>
      </w:r>
      <w:proofErr w:type="spellEnd"/>
      <w:r>
        <w:t xml:space="preserve"> de la </w:t>
      </w:r>
      <w:proofErr w:type="spellStart"/>
      <w:r>
        <w:t>Loi</w:t>
      </w:r>
      <w:proofErr w:type="spellEnd"/>
    </w:p>
    <w:p w:rsidR="00E86690" w:rsidRPr="000C33DF" w:rsidRDefault="00E86690" w:rsidP="00E86690">
      <w:pPr>
        <w:spacing w:line="240" w:lineRule="auto"/>
        <w:ind w:left="4248" w:firstLine="1706"/>
        <w:rPr>
          <w:rFonts w:eastAsia="Calibri"/>
          <w:kern w:val="0"/>
          <w:szCs w:val="21"/>
        </w:rPr>
      </w:pPr>
      <w:r>
        <w:t>B-1000 Bruksela</w:t>
      </w:r>
    </w:p>
    <w:p w:rsidR="00E86690" w:rsidRPr="000C33DF" w:rsidRDefault="00E86690" w:rsidP="00E86690">
      <w:pPr>
        <w:spacing w:after="120" w:line="240" w:lineRule="auto"/>
        <w:rPr>
          <w:rFonts w:eastAsia="Calibri"/>
          <w:kern w:val="0"/>
          <w:szCs w:val="21"/>
          <w:lang w:val="fr-FR" w:eastAsia="fr-BE"/>
        </w:rPr>
      </w:pPr>
    </w:p>
    <w:p w:rsidR="00E86690" w:rsidRPr="000C33DF" w:rsidRDefault="00E86690" w:rsidP="00E86690">
      <w:pPr>
        <w:spacing w:after="120" w:line="240" w:lineRule="auto"/>
        <w:ind w:left="4248" w:firstLine="1706"/>
        <w:rPr>
          <w:rFonts w:eastAsia="Calibri"/>
          <w:kern w:val="0"/>
          <w:szCs w:val="21"/>
          <w:lang w:val="fr-FR" w:eastAsia="fr-BE"/>
        </w:rPr>
      </w:pPr>
    </w:p>
    <w:p w:rsidR="00E86690" w:rsidRPr="002A2AB5" w:rsidRDefault="00E86690" w:rsidP="00E86690">
      <w:pPr>
        <w:spacing w:after="120" w:line="240" w:lineRule="auto"/>
        <w:ind w:left="4248" w:firstLine="1706"/>
        <w:rPr>
          <w:rFonts w:eastAsia="Calibri"/>
          <w:kern w:val="0"/>
          <w:szCs w:val="21"/>
        </w:rPr>
      </w:pPr>
      <w:r>
        <w:t>Bruksela, 29 kwietnia 2020 r.</w:t>
      </w:r>
    </w:p>
    <w:p w:rsidR="00E86690" w:rsidRDefault="00E86690" w:rsidP="00E86690">
      <w:pPr>
        <w:spacing w:after="120" w:line="240" w:lineRule="auto"/>
        <w:rPr>
          <w:rFonts w:ascii="Calibri" w:hAnsi="Calibri"/>
          <w:color w:val="000000"/>
          <w:lang w:val="en-GB"/>
        </w:rPr>
      </w:pPr>
    </w:p>
    <w:p w:rsidR="00E86690" w:rsidRPr="00641596" w:rsidRDefault="00E86690" w:rsidP="00E86690">
      <w:pPr>
        <w:spacing w:after="120" w:line="240" w:lineRule="auto"/>
        <w:rPr>
          <w:rFonts w:ascii="Calibri" w:hAnsi="Calibri"/>
          <w:color w:val="000000"/>
          <w:lang w:val="en-GB"/>
        </w:rPr>
      </w:pPr>
    </w:p>
    <w:p w:rsidR="00E86690" w:rsidRPr="00B030F6" w:rsidRDefault="00E86690" w:rsidP="00E86690">
      <w:pPr>
        <w:spacing w:after="120" w:line="240" w:lineRule="auto"/>
        <w:rPr>
          <w:rFonts w:eastAsia="Calibri"/>
          <w:b/>
          <w:kern w:val="0"/>
          <w:szCs w:val="21"/>
        </w:rPr>
      </w:pPr>
      <w:r>
        <w:rPr>
          <w:b/>
          <w:color w:val="000000"/>
        </w:rPr>
        <w:t>Dot.: Wpływ pandemii COVID-19 na sektor mięsa drobiowego i jaj</w:t>
      </w:r>
    </w:p>
    <w:p w:rsidR="00E86690" w:rsidRDefault="00E86690" w:rsidP="00E86690">
      <w:pPr>
        <w:spacing w:after="120" w:line="240" w:lineRule="auto"/>
        <w:rPr>
          <w:color w:val="000000"/>
          <w:szCs w:val="21"/>
          <w:lang w:val="en-GB"/>
        </w:rPr>
      </w:pPr>
    </w:p>
    <w:p w:rsidR="00E86690" w:rsidRDefault="00E86690" w:rsidP="00E86690">
      <w:p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>Szanowny Panie Dyrektorze,</w:t>
      </w:r>
    </w:p>
    <w:p w:rsidR="00E86690" w:rsidRDefault="00E86690" w:rsidP="00E86690">
      <w:pPr>
        <w:spacing w:after="120" w:line="240" w:lineRule="auto"/>
        <w:rPr>
          <w:color w:val="000000"/>
          <w:szCs w:val="21"/>
        </w:rPr>
      </w:pPr>
      <w:proofErr w:type="spellStart"/>
      <w:r>
        <w:rPr>
          <w:color w:val="000000"/>
          <w:szCs w:val="21"/>
        </w:rPr>
        <w:t>Copa</w:t>
      </w:r>
      <w:proofErr w:type="spellEnd"/>
      <w:r>
        <w:rPr>
          <w:color w:val="000000"/>
          <w:szCs w:val="21"/>
        </w:rPr>
        <w:t xml:space="preserve"> i </w:t>
      </w:r>
      <w:proofErr w:type="spellStart"/>
      <w:r>
        <w:rPr>
          <w:color w:val="000000"/>
          <w:szCs w:val="21"/>
        </w:rPr>
        <w:t>Cogeca</w:t>
      </w:r>
      <w:proofErr w:type="spellEnd"/>
      <w:r>
        <w:rPr>
          <w:color w:val="000000"/>
          <w:szCs w:val="21"/>
        </w:rPr>
        <w:t xml:space="preserve"> chciałyby przedstawić Panu swoje poglądy na temat wpływu pandemii COVID-19 na sektor mięsa drobiowego i jaj.</w:t>
      </w:r>
    </w:p>
    <w:p w:rsidR="00E86690" w:rsidRPr="007B66C3" w:rsidRDefault="00E86690" w:rsidP="00E86690">
      <w:p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>Mięso drobiowe i jaja to dwa główne źródła białka kupowane przez konsumentów w sprzedaży detalicznej podczas kryzysu. Niektóre segmenty ucierpiały jednak ze względu na zamknięcie pewnych rynków zbytu.</w:t>
      </w:r>
    </w:p>
    <w:p w:rsidR="00E86690" w:rsidRDefault="00E86690" w:rsidP="00E86690">
      <w:p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Utrata kanału </w:t>
      </w:r>
      <w:proofErr w:type="spellStart"/>
      <w:r>
        <w:rPr>
          <w:color w:val="000000"/>
          <w:szCs w:val="21"/>
        </w:rPr>
        <w:t>HoReCa</w:t>
      </w:r>
      <w:proofErr w:type="spellEnd"/>
      <w:r>
        <w:rPr>
          <w:color w:val="000000"/>
          <w:szCs w:val="21"/>
        </w:rPr>
        <w:t xml:space="preserve"> wywarła duży wpływ na niektóre produkty wysokiej jakości, takie jak kaczki, gołębie, przepiórki, króliki, perliczki i gęsi. Mimo że konsumenci nadal kupują brojlery i mięso indycze od detalistów, rynek ten również został dotknięty. Mięso drobiowe sprzedawane w sklepach nie rekompensuje utraty kanału </w:t>
      </w:r>
      <w:proofErr w:type="spellStart"/>
      <w:r>
        <w:rPr>
          <w:color w:val="000000"/>
          <w:szCs w:val="21"/>
        </w:rPr>
        <w:t>HoReCa</w:t>
      </w:r>
      <w:proofErr w:type="spellEnd"/>
      <w:r>
        <w:rPr>
          <w:color w:val="000000"/>
          <w:szCs w:val="21"/>
        </w:rPr>
        <w:t>.</w:t>
      </w:r>
    </w:p>
    <w:p w:rsidR="00E86690" w:rsidRDefault="00E86690" w:rsidP="00E86690">
      <w:p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>Podobne zjawisko zauważono w przypadku produktów jajecznych, gdyż większość z nich jest wykorzystywana zazwyczaj w sektorze usług gastronomicznych. Jednocześnie zwiększył się popyt na jaja w skorupkach sprzedawane w handlu detalicznym, w tym jaja z chowu w klatkach ulepszonych, co doprowadziło do pewnych niedoborów. W sektorze jaj zgłoszono również problemy z transportem jaj wylęgowych i jednodniowych piskląt, ponieważ wiele z nich jest przewożonych samolotami pasażerskimi. Co więcej, w większości państw członkowskich ograniczono również wprowadzanie piskląt do hodowli.</w:t>
      </w:r>
    </w:p>
    <w:p w:rsidR="00E86690" w:rsidRDefault="00E86690" w:rsidP="00E86690">
      <w:p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>Producenci zgłaszają też mniejszą lub zerową dostępność pewnych rodzajów paszy, np. soi ekologicznej.</w:t>
      </w:r>
    </w:p>
    <w:p w:rsidR="00E86690" w:rsidRPr="00585590" w:rsidRDefault="00E86690" w:rsidP="00E86690">
      <w:p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Równocześnie do UE importuje się znaczne ilości mrożonego mięsa drobiowego z krajów trzecich. Sektor </w:t>
      </w:r>
      <w:proofErr w:type="spellStart"/>
      <w:r>
        <w:rPr>
          <w:color w:val="000000"/>
          <w:szCs w:val="21"/>
        </w:rPr>
        <w:t>HoReCa</w:t>
      </w:r>
      <w:proofErr w:type="spellEnd"/>
      <w:r>
        <w:rPr>
          <w:color w:val="000000"/>
          <w:szCs w:val="21"/>
        </w:rPr>
        <w:t xml:space="preserve"> jest praktycznie jedynym rynkiem zbytu dla tych produktów. Zapasy mięsa drobiowego rosną, a zamrażarki w całej UE pękają w szwach, czekając tylko na zniesienie środków izolacji domowej. Dlatego też w momencie ponownego otwarcia restauracji, hoteli i cateringu pojawi się kryzys wynikający z nadpodaży, gdyż konsumenci nie zaczną jeść poza domem dwa razy częściej niż przed pandemią. Wywrze to niesamowitą presję na ceny.</w:t>
      </w:r>
    </w:p>
    <w:p w:rsidR="00E86690" w:rsidRDefault="00E86690" w:rsidP="00E86690">
      <w:p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Zarządzanie kontyngentami taryfowymi jest ważnym instrumentem zarządzania rynkiem. W związku z tym </w:t>
      </w:r>
      <w:r>
        <w:rPr>
          <w:b/>
          <w:bCs/>
          <w:color w:val="000000"/>
          <w:szCs w:val="21"/>
        </w:rPr>
        <w:t>wzywamy Komisję Europejską do pokierowania przywozem w sposób, który pozwoli nam uniknąć kryzysu wynikającego z nadmiernej podaży.</w:t>
      </w:r>
      <w:r>
        <w:rPr>
          <w:color w:val="000000"/>
          <w:szCs w:val="21"/>
        </w:rPr>
        <w:t xml:space="preserve"> Jest to rozwiązanie neutralne pod względem budżetowym. </w:t>
      </w:r>
    </w:p>
    <w:p w:rsidR="00E86690" w:rsidRDefault="00E86690" w:rsidP="00E86690">
      <w:p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>Kraje trzecie eksportujące jaja i produkty jajeczne do UE muszą koniecznie co do joty przestrzegać celów podpisanych umów o wolnym handlu, by nie dopuścić do wzmożonych przepływów handlowych i pojawienia się nieuczciwej konkurencji.</w:t>
      </w:r>
    </w:p>
    <w:p w:rsidR="00E86690" w:rsidRDefault="00E86690" w:rsidP="00E86690">
      <w:pPr>
        <w:spacing w:after="120" w:line="240" w:lineRule="auto"/>
        <w:rPr>
          <w:color w:val="000000"/>
          <w:szCs w:val="21"/>
        </w:rPr>
      </w:pPr>
      <w:r>
        <w:br w:type="page"/>
      </w:r>
      <w:r>
        <w:rPr>
          <w:color w:val="000000"/>
          <w:szCs w:val="21"/>
        </w:rPr>
        <w:lastRenderedPageBreak/>
        <w:t>Oprócz tego, szczególnie korzystnym rozwiązaniem byłoby udostępnienie systemu prywatnego przechowywania w tym sektorze,  a także innych środków wsparcia dla:</w:t>
      </w:r>
    </w:p>
    <w:p w:rsidR="00E86690" w:rsidRPr="00916641" w:rsidRDefault="00E86690" w:rsidP="00E86690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>Produktów głównych (brojlery i indyki) i specjalistycznych (kaczki, gołębie, przepiórki, króliki, perliczki i gęsi).</w:t>
      </w:r>
    </w:p>
    <w:p w:rsidR="00E86690" w:rsidRPr="00916641" w:rsidRDefault="00E86690" w:rsidP="00E86690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>Produktów jajecznych.</w:t>
      </w:r>
    </w:p>
    <w:p w:rsidR="00E86690" w:rsidRPr="00916641" w:rsidRDefault="00E86690" w:rsidP="00E86690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>Utrzymania stada rodzicielskiego gatunków podrzędnych.</w:t>
      </w:r>
    </w:p>
    <w:p w:rsidR="00E86690" w:rsidRDefault="00E86690" w:rsidP="00E86690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>Utrzymania stada pierwszego pokolenia brojlerów i indyków.</w:t>
      </w:r>
    </w:p>
    <w:p w:rsidR="00E86690" w:rsidRPr="003E5E12" w:rsidRDefault="00E86690" w:rsidP="00E86690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>Ponowne wprowadzenie przetworzonych białek zwierzęcych dla zwierząt innych niż przeżuwacze.</w:t>
      </w:r>
    </w:p>
    <w:p w:rsidR="00E86690" w:rsidRPr="007B66C3" w:rsidRDefault="00E86690" w:rsidP="00E86690">
      <w:pPr>
        <w:spacing w:after="120" w:line="240" w:lineRule="auto"/>
        <w:rPr>
          <w:color w:val="000000"/>
          <w:szCs w:val="21"/>
        </w:rPr>
      </w:pPr>
      <w:r>
        <w:rPr>
          <w:color w:val="000000"/>
          <w:szCs w:val="21"/>
        </w:rPr>
        <w:t>Wszystkie powyższe działania powinny być finansowane spoza WPR. Mamy nadzieję, że nasze poglądy spotkają się z Pana zainteresowaniem. W razie dodatkowych pytań z Pana strony lub jeśli chciałby Pan dokładniej omówić ten temat, jesteśmy do Pana dyspozycji.</w:t>
      </w:r>
    </w:p>
    <w:p w:rsidR="00E86690" w:rsidRDefault="00E86690" w:rsidP="00E86690">
      <w:pPr>
        <w:spacing w:after="120" w:line="240" w:lineRule="auto"/>
        <w:rPr>
          <w:szCs w:val="21"/>
          <w:lang w:val="en-GB"/>
        </w:rPr>
      </w:pPr>
    </w:p>
    <w:p w:rsidR="00E86690" w:rsidRDefault="00E86690" w:rsidP="00E86690">
      <w:pPr>
        <w:spacing w:after="120" w:line="240" w:lineRule="auto"/>
        <w:rPr>
          <w:szCs w:val="21"/>
        </w:rPr>
      </w:pPr>
      <w:r>
        <w:t>Z wyrazami szacunku,</w:t>
      </w:r>
    </w:p>
    <w:p w:rsidR="00E86690" w:rsidRPr="00296D93" w:rsidRDefault="00E86690" w:rsidP="00E86690">
      <w:pPr>
        <w:spacing w:after="120" w:line="240" w:lineRule="auto"/>
        <w:rPr>
          <w:rFonts w:eastAsia="Calibri"/>
          <w:kern w:val="0"/>
          <w:szCs w:val="21"/>
        </w:rPr>
      </w:pPr>
      <w:r>
        <w:rPr>
          <w:noProof/>
        </w:rPr>
        <w:drawing>
          <wp:inline distT="0" distB="0" distL="0" distR="0">
            <wp:extent cx="2305050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690" w:rsidRPr="00296D93" w:rsidRDefault="00E86690" w:rsidP="00E86690">
      <w:pPr>
        <w:spacing w:line="240" w:lineRule="auto"/>
        <w:rPr>
          <w:rFonts w:eastAsia="Calibri"/>
          <w:kern w:val="0"/>
          <w:szCs w:val="21"/>
        </w:rPr>
      </w:pPr>
      <w:proofErr w:type="spellStart"/>
      <w:r>
        <w:t>Pekka</w:t>
      </w:r>
      <w:proofErr w:type="spellEnd"/>
      <w:r>
        <w:t xml:space="preserve"> </w:t>
      </w:r>
      <w:proofErr w:type="spellStart"/>
      <w:r>
        <w:t>Pesonen</w:t>
      </w:r>
      <w:proofErr w:type="spellEnd"/>
    </w:p>
    <w:p w:rsidR="00E86690" w:rsidRPr="00296D93" w:rsidRDefault="00E86690" w:rsidP="00E86690">
      <w:pPr>
        <w:spacing w:after="120" w:line="240" w:lineRule="auto"/>
        <w:rPr>
          <w:rFonts w:eastAsia="Calibri"/>
          <w:kern w:val="0"/>
          <w:szCs w:val="21"/>
        </w:rPr>
      </w:pPr>
      <w:r>
        <w:t>Sekretarz Generalny</w:t>
      </w:r>
    </w:p>
    <w:p w:rsidR="00E86690" w:rsidRDefault="00E86690" w:rsidP="00E86690">
      <w:pPr>
        <w:spacing w:after="120" w:line="240" w:lineRule="auto"/>
        <w:rPr>
          <w:rFonts w:eastAsia="Calibri"/>
          <w:kern w:val="0"/>
          <w:szCs w:val="21"/>
          <w:lang w:val="en-GB" w:eastAsia="en-US"/>
        </w:rPr>
      </w:pPr>
    </w:p>
    <w:p w:rsidR="00E86690" w:rsidRPr="00296D93" w:rsidRDefault="00E86690" w:rsidP="00E86690">
      <w:pPr>
        <w:spacing w:after="120" w:line="240" w:lineRule="auto"/>
        <w:rPr>
          <w:rFonts w:eastAsia="Calibri"/>
          <w:kern w:val="0"/>
          <w:szCs w:val="21"/>
          <w:lang w:val="en-GB" w:eastAsia="en-US"/>
        </w:rPr>
      </w:pPr>
    </w:p>
    <w:p w:rsidR="00E86690" w:rsidRPr="00FC6914" w:rsidRDefault="00E86690" w:rsidP="00E86690">
      <w:pPr>
        <w:spacing w:after="120" w:line="240" w:lineRule="auto"/>
      </w:pPr>
      <w:r>
        <w:t xml:space="preserve">DW: </w:t>
      </w:r>
      <w:proofErr w:type="spellStart"/>
      <w:r>
        <w:t>María</w:t>
      </w:r>
      <w:proofErr w:type="spellEnd"/>
      <w:r>
        <w:t xml:space="preserve"> </w:t>
      </w:r>
      <w:proofErr w:type="spellStart"/>
      <w:r>
        <w:t>Ángeles</w:t>
      </w:r>
      <w:proofErr w:type="spellEnd"/>
      <w:r>
        <w:t xml:space="preserve"> </w:t>
      </w:r>
      <w:proofErr w:type="spellStart"/>
      <w:r>
        <w:t>Benítez</w:t>
      </w:r>
      <w:proofErr w:type="spellEnd"/>
      <w:r>
        <w:t xml:space="preserve"> </w:t>
      </w:r>
      <w:proofErr w:type="spellStart"/>
      <w:r>
        <w:t>Salas</w:t>
      </w:r>
      <w:proofErr w:type="spellEnd"/>
      <w:r>
        <w:t xml:space="preserve">, Michael </w:t>
      </w:r>
      <w:proofErr w:type="spellStart"/>
      <w:r>
        <w:t>Scannell</w:t>
      </w:r>
      <w:proofErr w:type="spellEnd"/>
      <w:r>
        <w:t xml:space="preserve">, </w:t>
      </w:r>
      <w:proofErr w:type="spellStart"/>
      <w:r>
        <w:t>Brigitte</w:t>
      </w:r>
      <w:proofErr w:type="spellEnd"/>
      <w:r>
        <w:t xml:space="preserve"> </w:t>
      </w:r>
      <w:proofErr w:type="spellStart"/>
      <w:r>
        <w:t>Misonne</w:t>
      </w:r>
      <w:proofErr w:type="spellEnd"/>
      <w:r>
        <w:t>.</w:t>
      </w:r>
    </w:p>
    <w:p w:rsidR="007F10AC" w:rsidRDefault="007F10AC"/>
    <w:sectPr w:rsidR="007F10AC" w:rsidSect="00FE70E6">
      <w:footerReference w:type="default" r:id="rId6"/>
      <w:headerReference w:type="first" r:id="rId7"/>
      <w:footerReference w:type="first" r:id="rId8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06" w:rsidRDefault="00E86690">
    <w:pPr>
      <w:pStyle w:val="Page"/>
      <w:framePr w:wrap="around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75206" w:rsidRDefault="00E86690">
    <w:pPr>
      <w:pStyle w:val="NumPage"/>
      <w:framePr w:wrap="around"/>
    </w:pPr>
    <w:r>
      <w:t xml:space="preserve">| 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75206" w:rsidRDefault="00E866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924975" w:rsidRDefault="00E86690" w:rsidP="00870547">
          <w:pPr>
            <w:pStyle w:val="Stopka"/>
          </w:pPr>
          <w:r>
            <w:rPr>
              <w:b/>
            </w:rPr>
            <w:t>Copa - Cogeca |</w:t>
          </w:r>
          <w:r>
            <w:t xml:space="preserve"> Europejscy Rolnicy Europejskie Spółdzielnie Rolnicze</w:t>
          </w:r>
        </w:p>
        <w:p w:rsidR="00870547" w:rsidRPr="000B1F76" w:rsidRDefault="00E86690" w:rsidP="00870547">
          <w:pPr>
            <w:pStyle w:val="Stopka"/>
            <w:rPr>
              <w:lang w:val="fr-BE"/>
            </w:rPr>
          </w:pPr>
          <w:r w:rsidRPr="000B1F76">
            <w:rPr>
              <w:lang w:val="fr-BE"/>
            </w:rPr>
            <w:t xml:space="preserve">61, Rue de Trèves | B - 1040 Bruksela | www.copa-cogeca.eu </w:t>
          </w:r>
        </w:p>
        <w:p w:rsidR="00AC3C95" w:rsidRPr="00963C74" w:rsidRDefault="00E86690" w:rsidP="00870547">
          <w:pPr>
            <w:pStyle w:val="Stopka"/>
          </w:pPr>
          <w:r>
            <w:t>Numer rejestru służącego przejrzystości UE | Copa 44856881231-49  | Cogeca 09586631237-74</w:t>
          </w:r>
        </w:p>
      </w:tc>
    </w:tr>
  </w:tbl>
  <w:p w:rsidR="00AC3C95" w:rsidRPr="00870547" w:rsidRDefault="00E86690" w:rsidP="00AC3C95">
    <w:pPr>
      <w:pStyle w:val="Stopka"/>
    </w:pPr>
  </w:p>
  <w:p w:rsidR="00975206" w:rsidRPr="00870547" w:rsidRDefault="00E86690" w:rsidP="00AC3C95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E86690">
          <w:pPr>
            <w:pStyle w:val="Nagwek"/>
          </w:pPr>
        </w:p>
      </w:tc>
      <w:tc>
        <w:tcPr>
          <w:tcW w:w="3775" w:type="dxa"/>
          <w:shd w:val="clear" w:color="auto" w:fill="auto"/>
        </w:tcPr>
        <w:p w:rsidR="00975206" w:rsidRPr="00AB75D0" w:rsidRDefault="00E86690" w:rsidP="005E42BC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2362200" cy="5905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5206" w:rsidRDefault="00E8669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5345430</wp:posOffset>
              </wp:positionV>
              <wp:extent cx="179705" cy="0"/>
              <wp:effectExtent l="8890" t="11430" r="11430" b="762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1905">
                        <a:solidFill>
                          <a:srgbClr val="6B72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CC7F6E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0.9pt" to="28.35pt,4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" strokecolor="#6b7213" strokeweight=".1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3779520</wp:posOffset>
              </wp:positionV>
              <wp:extent cx="179705" cy="0"/>
              <wp:effectExtent l="8890" t="7620" r="11430" b="1143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1905">
                        <a:solidFill>
                          <a:srgbClr val="CA6D0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068E3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6pt" to="28.3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" strokecolor="#ca6d05" strokeweight=".1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E206F"/>
    <w:multiLevelType w:val="hybridMultilevel"/>
    <w:tmpl w:val="EA9A9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90"/>
    <w:rsid w:val="007F10AC"/>
    <w:rsid w:val="00E8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ECAFAF-E2BE-4178-8E2F-B10E6A82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690"/>
    <w:pPr>
      <w:spacing w:after="0" w:line="260" w:lineRule="atLeast"/>
    </w:pPr>
    <w:rPr>
      <w:rFonts w:ascii="Georgia" w:eastAsia="Times New Roman" w:hAnsi="Georgia" w:cs="Times New Roman"/>
      <w:kern w:val="4"/>
      <w:sz w:val="21"/>
      <w:szCs w:val="24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6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6690"/>
    <w:rPr>
      <w:rFonts w:ascii="Georgia" w:eastAsia="Times New Roman" w:hAnsi="Georgia" w:cs="Times New Roman"/>
      <w:kern w:val="4"/>
      <w:sz w:val="21"/>
      <w:szCs w:val="24"/>
      <w:lang w:eastAsia="de-DE"/>
    </w:rPr>
  </w:style>
  <w:style w:type="paragraph" w:styleId="Stopka">
    <w:name w:val="footer"/>
    <w:basedOn w:val="Normalny"/>
    <w:link w:val="StopkaZnak"/>
    <w:rsid w:val="00E86690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character" w:customStyle="1" w:styleId="StopkaZnak">
    <w:name w:val="Stopka Znak"/>
    <w:basedOn w:val="Domylnaczcionkaakapitu"/>
    <w:link w:val="Stopka"/>
    <w:rsid w:val="00E86690"/>
    <w:rPr>
      <w:rFonts w:ascii="Tahoma" w:eastAsia="Times New Roman" w:hAnsi="Tahoma" w:cs="Times New Roman"/>
      <w:noProof/>
      <w:kern w:val="4"/>
      <w:sz w:val="16"/>
      <w:szCs w:val="24"/>
      <w:lang w:eastAsia="de-DE"/>
    </w:rPr>
  </w:style>
  <w:style w:type="paragraph" w:customStyle="1" w:styleId="Page">
    <w:name w:val="Page"/>
    <w:basedOn w:val="Normalny"/>
    <w:rsid w:val="00E86690"/>
    <w:pPr>
      <w:framePr w:w="709" w:h="312" w:hRule="exact" w:hSpace="181" w:wrap="around" w:vAnchor="page" w:hAnchor="page" w:x="10060" w:y="15401" w:anchorLock="1"/>
      <w:jc w:val="right"/>
    </w:pPr>
  </w:style>
  <w:style w:type="paragraph" w:customStyle="1" w:styleId="NumPage">
    <w:name w:val="NumPage"/>
    <w:basedOn w:val="Normalny"/>
    <w:rsid w:val="00E86690"/>
    <w:pPr>
      <w:framePr w:w="709" w:h="312" w:hRule="exact" w:hSpace="181" w:wrap="around" w:vAnchor="page" w:hAnchor="page" w:x="10819" w:y="15401" w:anchorLock="1"/>
    </w:pPr>
  </w:style>
  <w:style w:type="paragraph" w:styleId="Akapitzlist">
    <w:name w:val="List Paragraph"/>
    <w:basedOn w:val="Normalny"/>
    <w:qFormat/>
    <w:rsid w:val="00E8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2020-05-02T09:59:00Z</dcterms:created>
  <dcterms:modified xsi:type="dcterms:W3CDTF">2020-05-02T09:59:00Z</dcterms:modified>
</cp:coreProperties>
</file>