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ABD" w:rsidRDefault="004D1ABD" w:rsidP="004D1ABD">
      <w:pPr>
        <w:spacing w:after="160" w:line="254" w:lineRule="auto"/>
      </w:pPr>
    </w:p>
    <w:p w:rsidR="004D1ABD" w:rsidRDefault="004D1ABD" w:rsidP="004D1ABD">
      <w:pPr>
        <w:tabs>
          <w:tab w:val="left" w:pos="5954"/>
        </w:tabs>
        <w:spacing w:after="160" w:line="254" w:lineRule="auto"/>
      </w:pPr>
      <w:r>
        <w:rPr>
          <w:szCs w:val="21"/>
        </w:rPr>
        <w:fldChar w:fldCharType="begin"/>
      </w:r>
      <w:r>
        <w:rPr>
          <w:szCs w:val="21"/>
        </w:rPr>
        <w:instrText xml:space="preserve"> DOCPROPERTY "PWThreadMemo"</w:instrText>
      </w:r>
      <w:r>
        <w:rPr>
          <w:szCs w:val="21"/>
        </w:rPr>
        <w:fldChar w:fldCharType="separate"/>
      </w:r>
      <w:r>
        <w:rPr>
          <w:szCs w:val="21"/>
        </w:rPr>
        <w:t>PPA(20)1771:2</w:t>
      </w:r>
      <w:r>
        <w:rPr>
          <w:szCs w:val="21"/>
        </w:rPr>
        <w:fldChar w:fldCharType="end"/>
      </w:r>
      <w:r>
        <w:t xml:space="preserve"> – RS/</w:t>
      </w:r>
      <w:proofErr w:type="spellStart"/>
      <w:r>
        <w:t>va</w:t>
      </w:r>
      <w:proofErr w:type="spellEnd"/>
      <w:r>
        <w:t>/</w:t>
      </w:r>
      <w:proofErr w:type="spellStart"/>
      <w:r>
        <w:t>rs</w:t>
      </w:r>
      <w:proofErr w:type="spellEnd"/>
      <w:r>
        <w:tab/>
        <w:t>Bruksela, 6 maja 2020 r.</w:t>
      </w:r>
    </w:p>
    <w:p w:rsidR="004D1ABD" w:rsidRDefault="004D1ABD" w:rsidP="004D1ABD">
      <w:pPr>
        <w:spacing w:after="160" w:line="254" w:lineRule="auto"/>
        <w:jc w:val="center"/>
      </w:pPr>
    </w:p>
    <w:p w:rsidR="004D1ABD" w:rsidRDefault="004D1ABD" w:rsidP="004D1ABD">
      <w:pPr>
        <w:spacing w:after="120" w:line="240" w:lineRule="auto"/>
        <w:jc w:val="center"/>
      </w:pPr>
    </w:p>
    <w:p w:rsidR="004D1ABD" w:rsidRDefault="004D1ABD" w:rsidP="004D1ABD">
      <w:pPr>
        <w:spacing w:after="120" w:line="240" w:lineRule="auto"/>
        <w:jc w:val="center"/>
      </w:pPr>
      <w:r>
        <w:rPr>
          <w:b/>
          <w:sz w:val="32"/>
          <w:szCs w:val="32"/>
        </w:rPr>
        <w:t>Projekt stanowiska</w:t>
      </w:r>
    </w:p>
    <w:p w:rsidR="004D1ABD" w:rsidRDefault="004D1ABD" w:rsidP="004D1ABD">
      <w:pPr>
        <w:spacing w:line="240" w:lineRule="auto"/>
        <w:jc w:val="center"/>
      </w:pPr>
      <w:r>
        <w:rPr>
          <w:b/>
          <w:sz w:val="32"/>
          <w:szCs w:val="32"/>
        </w:rPr>
        <w:t xml:space="preserve">Odpowiedź </w:t>
      </w:r>
      <w:proofErr w:type="spellStart"/>
      <w:r>
        <w:rPr>
          <w:b/>
          <w:sz w:val="32"/>
          <w:szCs w:val="32"/>
        </w:rPr>
        <w:t>Copa</w:t>
      </w:r>
      <w:proofErr w:type="spellEnd"/>
      <w:r>
        <w:rPr>
          <w:b/>
          <w:sz w:val="32"/>
          <w:szCs w:val="32"/>
        </w:rPr>
        <w:t xml:space="preserve"> i </w:t>
      </w:r>
      <w:proofErr w:type="spellStart"/>
      <w:r>
        <w:rPr>
          <w:b/>
          <w:sz w:val="32"/>
          <w:szCs w:val="32"/>
        </w:rPr>
        <w:t>Cogeca</w:t>
      </w:r>
      <w:proofErr w:type="spellEnd"/>
      <w:r>
        <w:rPr>
          <w:b/>
          <w:sz w:val="32"/>
          <w:szCs w:val="32"/>
        </w:rPr>
        <w:t xml:space="preserve"> na konsultacje publiczne w sprawie polityki promocji </w:t>
      </w:r>
    </w:p>
    <w:p w:rsidR="004D1ABD" w:rsidRDefault="004D1ABD" w:rsidP="004D1ABD">
      <w:pPr>
        <w:spacing w:after="160" w:line="254" w:lineRule="auto"/>
        <w:jc w:val="center"/>
      </w:pPr>
      <w:r>
        <w:rPr>
          <w:b/>
          <w:sz w:val="32"/>
          <w:szCs w:val="32"/>
        </w:rPr>
        <w:t xml:space="preserve"> </w:t>
      </w:r>
    </w:p>
    <w:p w:rsidR="004D1ABD" w:rsidRDefault="004D1ABD" w:rsidP="004D1ABD">
      <w:pPr>
        <w:spacing w:after="120" w:line="240" w:lineRule="auto"/>
      </w:pPr>
      <w:r>
        <w:rPr>
          <w:b/>
          <w:sz w:val="24"/>
        </w:rPr>
        <w:t>Uwagi ogólne</w:t>
      </w:r>
    </w:p>
    <w:p w:rsidR="004D1ABD" w:rsidRDefault="004D1ABD" w:rsidP="004D1ABD">
      <w:pPr>
        <w:spacing w:after="120" w:line="240" w:lineRule="auto"/>
      </w:pPr>
      <w:proofErr w:type="spellStart"/>
      <w:r>
        <w:t>Copa</w:t>
      </w:r>
      <w:proofErr w:type="spellEnd"/>
      <w:r>
        <w:t xml:space="preserve"> i </w:t>
      </w:r>
      <w:proofErr w:type="spellStart"/>
      <w:r>
        <w:t>Cogeca</w:t>
      </w:r>
      <w:proofErr w:type="spellEnd"/>
      <w:r>
        <w:t xml:space="preserve"> z zadowoleniem przyjmują ocenę polityki promocji rolnictwa UE. </w:t>
      </w:r>
      <w:r>
        <w:rPr>
          <w:b/>
          <w:szCs w:val="21"/>
        </w:rPr>
        <w:t>Polityka promocji UE jest bez wątpienia doskonałym narzędziem zwiększania konkurencyjności naszego sektora.</w:t>
      </w:r>
      <w:r>
        <w:t xml:space="preserve"> Na przestrzeni lat okazało się, że jest to bardzo ważny instrument dla europejskich rolników i spółdzielni rolniczych, służący podniesieniu świadomości konsumentów na temat wysokiej jakości i wartości dodanej naszych produktów oraz zalet rolnictwa UE. Faktycznie, Unia Europejska zmieniła swoją pozycję na rynku światowym w ciągu ostatnich 10 lat, stając się największym światowym eksporterem produktów rolno-spożywczych. </w:t>
      </w:r>
    </w:p>
    <w:p w:rsidR="004D1ABD" w:rsidRDefault="004D1ABD" w:rsidP="004D1ABD">
      <w:pPr>
        <w:spacing w:after="120" w:line="240" w:lineRule="auto"/>
      </w:pPr>
      <w:r>
        <w:t>Europejskie produkty charakteryzują się różnorodnością i jakością, a także tradycjami, wiedzą fachową i wysokimi normami produkcji. Polityka promocji UE jest bez wątpienia świetnym narzędziem umożliwiającym propagowanie powyższych cech w UE i w krajach trzecich. W związku z tym, logo „</w:t>
      </w:r>
      <w:proofErr w:type="spellStart"/>
      <w:r>
        <w:t>Enjoy</w:t>
      </w:r>
      <w:proofErr w:type="spellEnd"/>
      <w:r>
        <w:t xml:space="preserve">! </w:t>
      </w:r>
      <w:proofErr w:type="spellStart"/>
      <w:r>
        <w:t>It's</w:t>
      </w:r>
      <w:proofErr w:type="spellEnd"/>
      <w:r>
        <w:t xml:space="preserve"> from Europe!” jest skutecznym i rozpoznawalnym elementem łatwo kojarzącym się z kampaniami promocyjnymi i doskonałymi </w:t>
      </w:r>
      <w:r>
        <w:rPr>
          <w:b/>
          <w:szCs w:val="21"/>
        </w:rPr>
        <w:t>standardami europejskimi</w:t>
      </w:r>
      <w:r>
        <w:t>.</w:t>
      </w:r>
    </w:p>
    <w:p w:rsidR="004D1ABD" w:rsidRDefault="004D1ABD" w:rsidP="004D1ABD">
      <w:pPr>
        <w:spacing w:after="120" w:line="240" w:lineRule="auto"/>
      </w:pPr>
      <w:proofErr w:type="spellStart"/>
      <w:r>
        <w:t>Copa</w:t>
      </w:r>
      <w:proofErr w:type="spellEnd"/>
      <w:r>
        <w:t xml:space="preserve"> i </w:t>
      </w:r>
      <w:proofErr w:type="spellStart"/>
      <w:r>
        <w:t>Cogeca</w:t>
      </w:r>
      <w:proofErr w:type="spellEnd"/>
      <w:r>
        <w:t xml:space="preserve"> są przekonane o słuszności ustanawiania co roku </w:t>
      </w:r>
      <w:r>
        <w:rPr>
          <w:b/>
          <w:szCs w:val="21"/>
        </w:rPr>
        <w:t>strategicznych priorytetów</w:t>
      </w:r>
      <w:r>
        <w:t xml:space="preserve">, które mogą wzmocnić i uaktualnić efekty kampanii promocyjnych i informacyjnych na rynku wewnętrznym i na całym świecie. Pozwala to uwzględnić agendę handlową, wschodzące rynki i możliwości eksportu, a także cechy charakteryzujące poszczególne produkty rolne, w tym sektory nieżywnościowe oraz zmieniające się trendy konsumenckie. Faktycznie, musimy sprawić, aby potencjał tej polityki był nadal w pełni wykorzystywany i aby polityka ta była dostosowana do przyszłych wyzwań (np. przyszłych zakłóceń na rynku związanych z </w:t>
      </w:r>
      <w:proofErr w:type="spellStart"/>
      <w:r>
        <w:t>brexitem</w:t>
      </w:r>
      <w:proofErr w:type="spellEnd"/>
      <w:r>
        <w:t xml:space="preserve">). </w:t>
      </w:r>
    </w:p>
    <w:p w:rsidR="004D1ABD" w:rsidRDefault="004D1ABD" w:rsidP="004D1ABD">
      <w:pPr>
        <w:spacing w:after="120" w:line="240" w:lineRule="auto"/>
      </w:pPr>
      <w:r>
        <w:t xml:space="preserve">Polityka promocyjna UE jest w większości przypadków </w:t>
      </w:r>
      <w:r>
        <w:rPr>
          <w:b/>
          <w:szCs w:val="21"/>
        </w:rPr>
        <w:t>polityką długoterminową</w:t>
      </w:r>
      <w:r>
        <w:t xml:space="preserve">. W związku z tym, w odniesieniu do oceny efektywności i skuteczności programów promocyjnych, chcielibyśmy podkreślić, jak trudno jest zmierzyć wpływ działań wykraczających poza ich bezpośrednie skutki, zwłaszcza biorąc pod uwagę, że niektóre z tych skutków zmaterializują się dopiero po dłuższym czasie. Dlatego należy zwrócić szczególną uwagę na wskaźniki produktu i rezultatu. </w:t>
      </w:r>
    </w:p>
    <w:p w:rsidR="004D1ABD" w:rsidRDefault="004D1ABD" w:rsidP="004D1ABD">
      <w:pPr>
        <w:spacing w:after="120" w:line="240" w:lineRule="auto"/>
      </w:pPr>
      <w:r>
        <w:t xml:space="preserve">Jak już podkreślono, polityka promocji UE, stanowiąca część wspólnej polityki rolnej (WPR), jest już sama w sobie kluczowym narzędziem promocji produktów rolnych. Dlatego też zdaniem </w:t>
      </w:r>
      <w:proofErr w:type="spellStart"/>
      <w:r>
        <w:t>Copa</w:t>
      </w:r>
      <w:proofErr w:type="spellEnd"/>
      <w:r>
        <w:t xml:space="preserve"> i </w:t>
      </w:r>
      <w:proofErr w:type="spellStart"/>
      <w:r>
        <w:t>Cogeca</w:t>
      </w:r>
      <w:proofErr w:type="spellEnd"/>
      <w:r>
        <w:t xml:space="preserve"> przyszłe programy promocji i </w:t>
      </w:r>
      <w:r>
        <w:rPr>
          <w:b/>
          <w:szCs w:val="21"/>
        </w:rPr>
        <w:t>planowane działania powinny obejmować przede wszystkim wsparcie dla producentów pierwotnych, by zwrócić uwagę na wysiłki podejmowane przez unijnych rolników i spółdzielnie rolnicze</w:t>
      </w:r>
      <w:r>
        <w:t xml:space="preserve"> </w:t>
      </w:r>
      <w:r>
        <w:rPr>
          <w:b/>
          <w:szCs w:val="21"/>
        </w:rPr>
        <w:t>będących pierwszymi producentami żywności.</w:t>
      </w:r>
      <w:r>
        <w:t xml:space="preserve"> Z tego powodu dobrze byłoby ocenić dostępne statystyki, by upewnić się, że wybierane zgłoszenia dotyczą różnych sektorów rolnych, a polityka jest dostosowana do ich konkretnych potrzeb. </w:t>
      </w:r>
    </w:p>
    <w:p w:rsidR="004D1ABD" w:rsidRDefault="004D1ABD" w:rsidP="004D1ABD">
      <w:pPr>
        <w:spacing w:after="120" w:line="240" w:lineRule="auto"/>
      </w:pPr>
    </w:p>
    <w:p w:rsidR="004D1ABD" w:rsidRDefault="004D1ABD" w:rsidP="004D1ABD">
      <w:pPr>
        <w:spacing w:after="120" w:line="240" w:lineRule="auto"/>
      </w:pPr>
    </w:p>
    <w:p w:rsidR="004D1ABD" w:rsidRDefault="004D1ABD" w:rsidP="004D1ABD">
      <w:pPr>
        <w:spacing w:after="120" w:line="240" w:lineRule="auto"/>
      </w:pPr>
      <w:r>
        <w:rPr>
          <w:b/>
          <w:sz w:val="24"/>
        </w:rPr>
        <w:t xml:space="preserve">Programy proste na rynku wewnętrznym </w:t>
      </w:r>
    </w:p>
    <w:p w:rsidR="004D1ABD" w:rsidRDefault="004D1ABD" w:rsidP="004D1ABD">
      <w:pPr>
        <w:spacing w:after="120" w:line="240" w:lineRule="auto"/>
      </w:pPr>
      <w:proofErr w:type="spellStart"/>
      <w:r>
        <w:t>Copa</w:t>
      </w:r>
      <w:proofErr w:type="spellEnd"/>
      <w:r>
        <w:t xml:space="preserve"> i </w:t>
      </w:r>
      <w:proofErr w:type="spellStart"/>
      <w:r>
        <w:t>Cogeca</w:t>
      </w:r>
      <w:proofErr w:type="spellEnd"/>
      <w:r>
        <w:t xml:space="preserve"> uważają, że proste programy na rynku wewnętrznym mają zasadnicze znaczenie. Wzywamy Komisję do zwiększenia przeznaczonego na nie budżetu. Rynek wewnętrzny UE </w:t>
      </w:r>
      <w:r>
        <w:lastRenderedPageBreak/>
        <w:t xml:space="preserve">pozostaje głównym rynkiem zbytu dla naszych produktów wrażliwych, które konkurują bezpośrednio z tańszymi produktami pochodzącymi z importu. </w:t>
      </w:r>
    </w:p>
    <w:p w:rsidR="004D1ABD" w:rsidRDefault="004D1ABD" w:rsidP="004D1ABD">
      <w:pPr>
        <w:spacing w:after="120" w:line="240" w:lineRule="auto"/>
      </w:pPr>
      <w:r>
        <w:t xml:space="preserve">Popieramy ideę zwiększenia rozpoznawalności unijnych systemów jakości wśród konsumentów. Ważne jest zachowanie równowagi między budżetem przydzielonym na interesy ofensywne i defensywne, by każdy sektor dysponował taką samą możliwością skorzystania z promocji ogólnej. Chcemy również zwrócić uwagę na fakt, że nie wszystkie sektory kwalifikujące się do promocji są objęte unijnym systemami jakości (w szczególności sektory nieżywnościowe). </w:t>
      </w:r>
    </w:p>
    <w:p w:rsidR="004D1ABD" w:rsidRDefault="004D1ABD" w:rsidP="004D1ABD">
      <w:pPr>
        <w:spacing w:after="120" w:line="240" w:lineRule="auto"/>
      </w:pPr>
      <w:r>
        <w:t xml:space="preserve">Oprócz systemów jakości UE trzeba też wspomnieć o innych </w:t>
      </w:r>
      <w:r>
        <w:rPr>
          <w:b/>
          <w:szCs w:val="21"/>
        </w:rPr>
        <w:t>systemach jakości</w:t>
      </w:r>
      <w:r>
        <w:t xml:space="preserve"> (w tym o systemach certyfikacji produktów rolnych, bawełny i środków spożywczych) uznanych przez państwa członkowskie za spełniające kryteria ustanowione w art. 16 ust. 1 lit b) rozporządzenia (UE) nr 1305/2013. Nie możemy zapomnieć też o dobrowolnych systemach certyfikacji obejmujących produkty rolne i spożywcze, uznanych przez państwa członkowskie (tj. spełniających unijne wytyczne i o europejskim wymiarze). Jesteśmy przekonani, że odgrywają one ważną rolę uzupełniając unijne systemy jakości, które być może nie obejmują wszystkich aspektów jakości ważnych dla konsumentów.</w:t>
      </w:r>
    </w:p>
    <w:p w:rsidR="004D1ABD" w:rsidRDefault="004D1ABD" w:rsidP="004D1ABD">
      <w:pPr>
        <w:spacing w:after="120" w:line="240" w:lineRule="auto"/>
      </w:pPr>
      <w:proofErr w:type="spellStart"/>
      <w:r>
        <w:t>Copa</w:t>
      </w:r>
      <w:proofErr w:type="spellEnd"/>
      <w:r>
        <w:t xml:space="preserve"> i </w:t>
      </w:r>
      <w:proofErr w:type="spellStart"/>
      <w:r>
        <w:t>Cogeca</w:t>
      </w:r>
      <w:proofErr w:type="spellEnd"/>
      <w:r>
        <w:t xml:space="preserve"> uważają jednak, że takie krajowe systemy jakości nie są wystarczająco zharmonizowane pomiędzy różnymi państwami członkowskimi w odniesieniu do niektórych aspektów, co może powodować dezorientację wśród konsumentów. Po osiągnięciu harmonizacji na poziomie europejskim, krajowe systemy jakości przyczynią się w jeszcze większym stopniu do spełnienia dodatkowych wymogów, których coraz częściej domagają się konsumenci (np. kryteria </w:t>
      </w:r>
      <w:proofErr w:type="spellStart"/>
      <w:r>
        <w:t>zrównoważoności</w:t>
      </w:r>
      <w:proofErr w:type="spellEnd"/>
      <w:r>
        <w:t xml:space="preserve">). Krajowe systemy zapewniania jakości mogą stanowić cenną okazję do zharmonizowania unijnej definicji </w:t>
      </w:r>
      <w:proofErr w:type="spellStart"/>
      <w:r>
        <w:t>zrównoważoności</w:t>
      </w:r>
      <w:proofErr w:type="spellEnd"/>
      <w:r>
        <w:t xml:space="preserve"> (gospodarczej, środowiskowej i społecznej), a tym samym pomóc w poprowadzeniu naszych systemów rolno-spożywczych w stronę bardziej zrównoważonej przyszłości. W tym kontekście należy jednak zwrócić uwagę na energię włożoną przez europejskich rolników i ich spółdzielnie w zwiększenie </w:t>
      </w:r>
      <w:proofErr w:type="spellStart"/>
      <w:r>
        <w:t>zrównoważoności</w:t>
      </w:r>
      <w:proofErr w:type="spellEnd"/>
      <w:r>
        <w:t xml:space="preserve"> ich systemów produkcji żywności. </w:t>
      </w:r>
      <w:proofErr w:type="spellStart"/>
      <w:r>
        <w:t>Copa</w:t>
      </w:r>
      <w:proofErr w:type="spellEnd"/>
      <w:r>
        <w:t xml:space="preserve"> i </w:t>
      </w:r>
      <w:proofErr w:type="spellStart"/>
      <w:r>
        <w:t>Cogeca</w:t>
      </w:r>
      <w:proofErr w:type="spellEnd"/>
      <w:r>
        <w:t xml:space="preserve"> chciałyby skorzystać z tej okazji, aby zaznaczyć, że brak harmonizacji jest powszechnym problemem dotykającym nie tylko krajowych systemów jakości, ale także, znacznie głębiej, prywatnych systemów certyfikacji</w:t>
      </w:r>
      <w:r>
        <w:rPr>
          <w:rStyle w:val="FootnoteCharacters"/>
          <w:szCs w:val="21"/>
        </w:rPr>
        <w:footnoteReference w:id="1"/>
      </w:r>
      <w:r>
        <w:t>. Pilnie wzywamy do zwiększenia spójności i harmonizacji takich dobrowolnych narzędzi certyfikacji, jak określono to w cennych, ale nigdy nie wdrożonych wytycznych UE z 2010 roku</w:t>
      </w:r>
      <w:r>
        <w:rPr>
          <w:rStyle w:val="FootnoteCharacters"/>
          <w:szCs w:val="21"/>
        </w:rPr>
        <w:footnoteReference w:id="2"/>
      </w:r>
      <w:r>
        <w:t>.</w:t>
      </w:r>
    </w:p>
    <w:p w:rsidR="004D1ABD" w:rsidRDefault="004D1ABD" w:rsidP="004D1ABD">
      <w:pPr>
        <w:spacing w:after="120" w:line="240" w:lineRule="auto"/>
      </w:pPr>
      <w:r>
        <w:t xml:space="preserve">Promocja europejskich produktów rolnych na rynku wewnętrznym jest niezbędnym narzędziem towarzyszącym sektorom, które doświadczają </w:t>
      </w:r>
      <w:r>
        <w:rPr>
          <w:b/>
          <w:szCs w:val="21"/>
        </w:rPr>
        <w:t>stałego spadku konsumpcji</w:t>
      </w:r>
      <w:r>
        <w:t xml:space="preserve"> i ogólnej wartości produktów UE (np. owce i kozy, mleko spożywcze, owoce i warzywa, wołowina, mięso królicze). Wspiera ona również sektory, które ze względu na</w:t>
      </w:r>
      <w:r>
        <w:rPr>
          <w:b/>
          <w:szCs w:val="21"/>
        </w:rPr>
        <w:t xml:space="preserve"> logistykę</w:t>
      </w:r>
      <w:r>
        <w:t xml:space="preserve"> (np. produkty łatwo psujące się, droga logistyka) lub </w:t>
      </w:r>
      <w:r>
        <w:rPr>
          <w:b/>
          <w:szCs w:val="21"/>
        </w:rPr>
        <w:t>bariery sanitarne i fitosanitarne</w:t>
      </w:r>
      <w:r>
        <w:t xml:space="preserve"> nie mogą uzyskać dostępu do alternatywnych rynków zbytu, np. kwiaty i rośliny ozdobne, warzywa i owoce. W istocie dostęp do rynku, promocja produktów i kwestie sanitarne i fitosanitarne są wzajemnie powiązane i synergiczne. Inne sektory korzystają z polityki promocji, gdyż konkurują z </w:t>
      </w:r>
      <w:r>
        <w:rPr>
          <w:b/>
          <w:szCs w:val="21"/>
        </w:rPr>
        <w:t>ciągłym, coraz większym importem</w:t>
      </w:r>
      <w:r>
        <w:t xml:space="preserve"> i pragną promować unijny model produkcji, wysokie normy i </w:t>
      </w:r>
      <w:proofErr w:type="spellStart"/>
      <w:r>
        <w:rPr>
          <w:b/>
          <w:szCs w:val="21"/>
        </w:rPr>
        <w:t>zrównoważoność</w:t>
      </w:r>
      <w:proofErr w:type="spellEnd"/>
      <w:r>
        <w:t xml:space="preserve"> rolnictwa w UE, (np. ryż, miód i inne produkty pszczele). Wielu producentów musiało dostosować się do</w:t>
      </w:r>
      <w:r>
        <w:rPr>
          <w:b/>
          <w:szCs w:val="21"/>
        </w:rPr>
        <w:t xml:space="preserve"> nowych tendencji produkcyjnych</w:t>
      </w:r>
      <w:r>
        <w:t xml:space="preserve">, które utrudniają eksport ze względu na wzrost kosztów produkcji w UE. Tendencje te prowadzą do sytuacji, w których produkty, których nie udało się wyeksportować na rynek międzynarodowy ze względu na niską konkurencyjność mogą bardzo negatywnie wpłynąć na ceny na rynku UE, jeśli nie dojdzie do wzrostu rodzimej konsumpcji (np. jaja, hodowla). W końcu takie narzędzia polityczne są niezbędne, by dostosować się do </w:t>
      </w:r>
      <w:r>
        <w:rPr>
          <w:b/>
          <w:szCs w:val="21"/>
        </w:rPr>
        <w:t>nowych nawyków, zmieniających się wzorców konsumpcji młodszych pokoleń i pomagają sektorom stać się bardziej atrakcyjnymi dla nowoczesnych konsumentów</w:t>
      </w:r>
      <w:r>
        <w:t xml:space="preserve"> (np. nowe kawałki mięsa, kwiaty, warzywa i owoce, zboża, produkty mleczne). Uświadamiają konsumentów na temat wysokich norm środowiskowych, społecznych, rynkowych czy bezpieczeństwa, których przestrzegają unijni rolnicy i spółdzielnie rolnicze, a także na temat gospodarczego, społecznego i środowiskowego wkładu sektora rolnego w sytuację na obszarach wiejskich, z którego korzysta również ogólnie pojęte społeczeństwo.</w:t>
      </w:r>
    </w:p>
    <w:p w:rsidR="004D1ABD" w:rsidRDefault="004D1ABD" w:rsidP="004D1ABD">
      <w:pPr>
        <w:spacing w:after="120" w:line="240" w:lineRule="auto"/>
      </w:pPr>
    </w:p>
    <w:p w:rsidR="004D1ABD" w:rsidRDefault="004D1ABD" w:rsidP="004D1ABD">
      <w:pPr>
        <w:spacing w:after="120" w:line="240" w:lineRule="auto"/>
      </w:pPr>
      <w:r>
        <w:rPr>
          <w:b/>
          <w:sz w:val="24"/>
        </w:rPr>
        <w:t xml:space="preserve">Programy proste w krajach trzecich </w:t>
      </w:r>
    </w:p>
    <w:p w:rsidR="004D1ABD" w:rsidRDefault="004D1ABD" w:rsidP="004D1ABD">
      <w:pPr>
        <w:spacing w:after="120" w:line="240" w:lineRule="auto"/>
      </w:pPr>
      <w:r>
        <w:t xml:space="preserve">Jesteśmy przekonani, że możliwości handlu z krajami trzecimi nadal będą odgrywać ważną rolę, przez co trzeba będzie zwiększać konkurencyjność naszego sektora i podnosić poziom świadomości konsumentów na temat jakości i wartości dodanej unijnych produktów na całym świecie. </w:t>
      </w:r>
    </w:p>
    <w:p w:rsidR="004D1ABD" w:rsidRDefault="004D1ABD" w:rsidP="004D1ABD">
      <w:pPr>
        <w:spacing w:after="120" w:line="240" w:lineRule="auto"/>
      </w:pPr>
      <w:proofErr w:type="spellStart"/>
      <w:r>
        <w:rPr>
          <w:b/>
          <w:szCs w:val="21"/>
        </w:rPr>
        <w:t>Copa</w:t>
      </w:r>
      <w:proofErr w:type="spellEnd"/>
      <w:r>
        <w:rPr>
          <w:b/>
          <w:szCs w:val="21"/>
        </w:rPr>
        <w:t xml:space="preserve"> i </w:t>
      </w:r>
      <w:proofErr w:type="spellStart"/>
      <w:r>
        <w:rPr>
          <w:b/>
          <w:szCs w:val="21"/>
        </w:rPr>
        <w:t>Cogeca</w:t>
      </w:r>
      <w:proofErr w:type="spellEnd"/>
      <w:r>
        <w:rPr>
          <w:b/>
          <w:szCs w:val="21"/>
        </w:rPr>
        <w:t xml:space="preserve"> są zadowolone ze zmniejszenia liczby priorytetów geograficznych i ich zgrupowania w trzech działaniach</w:t>
      </w:r>
      <w:r>
        <w:t xml:space="preserve">, podobnie jak w latach poprzednich, w celu zwiększenia elastyczności i stworzenia bardziej dynamicznego systemu. Naszym zdaniem bardzo ważne jest tworzenie synergii i ustanowienie priorytetów dysponujących wyższym budżetem, a nie przyjęcie bardzo rozdrobnionego rocznego programu prac z niewielkimi kopertami. </w:t>
      </w:r>
    </w:p>
    <w:p w:rsidR="004D1ABD" w:rsidRDefault="004D1ABD" w:rsidP="004D1ABD">
      <w:pPr>
        <w:spacing w:after="120" w:line="240" w:lineRule="auto"/>
      </w:pPr>
      <w:r>
        <w:t xml:space="preserve">W rzeczy samej, apelujemy do Komisji o opracowanie pewnych kryteriów umożliwiających objęcie różnych działań jednym programem. Ograniczyłoby to obciążania administracyjne, liczbę wniosków i zapobiegałoby szybkiemu zgłaszaniu wielu projektów obejmujących różne działania przez jednego wnioskodawcę. </w:t>
      </w:r>
    </w:p>
    <w:p w:rsidR="004D1ABD" w:rsidRDefault="004D1ABD" w:rsidP="004D1ABD">
      <w:pPr>
        <w:spacing w:after="120" w:line="240" w:lineRule="auto"/>
      </w:pPr>
      <w:proofErr w:type="spellStart"/>
      <w:r>
        <w:t>Copa</w:t>
      </w:r>
      <w:proofErr w:type="spellEnd"/>
      <w:r>
        <w:t xml:space="preserve"> i </w:t>
      </w:r>
      <w:proofErr w:type="spellStart"/>
      <w:r>
        <w:t>Cogeca</w:t>
      </w:r>
      <w:proofErr w:type="spellEnd"/>
      <w:r>
        <w:t xml:space="preserve"> są zdania, że należy rozpisać aktualne i przyszłe możliwości. Dlatego też tak ważna jest</w:t>
      </w:r>
      <w:r>
        <w:rPr>
          <w:b/>
          <w:szCs w:val="21"/>
        </w:rPr>
        <w:t xml:space="preserve"> analiza makroekonomiczna</w:t>
      </w:r>
      <w:r>
        <w:t xml:space="preserve"> przeprowadzana co roku przez służby Komisji. Ponieważ jednak rynek światowy może być bardzo zmienny i charakteryzować się wysoce niestabilnymi wskaźnikami, uważamy, że to raczej tendencje niż wyniki roczne (zmienne z roku na rok) są kluczem do przeprowadzenia wiarygodnej analizy i selektywnego ukierunkowania polityki na państwa trzecie o największym potencjale eksportowym dla unijnych producentów pierwotnych i ich spółdzielni. Rynki mogą się bardzo szybko rozwijać i zmieniać, dlatego możliwość dostosowania priorytetów ma szczególne znaczenie. Bardzo ważne są </w:t>
      </w:r>
      <w:r>
        <w:rPr>
          <w:b/>
          <w:szCs w:val="21"/>
        </w:rPr>
        <w:t>różne wskaźniki ekonomiczne</w:t>
      </w:r>
      <w:r>
        <w:t xml:space="preserve"> (np. potencjał zwiększenia importu i eksportu) obejmujące różne produkty rolne. W analizie trzeba jednak uwzględnić też inne czynniki ekonomiczne, jak siła nabywcza konsumentów czy rozwój klasy średniej w krajach docelowych. Trzeba wziąć pod uwagę również agendę handlową i polityczną ocenę umów o wolnym handlu. </w:t>
      </w:r>
    </w:p>
    <w:p w:rsidR="004D1ABD" w:rsidRDefault="004D1ABD" w:rsidP="004D1ABD">
      <w:pPr>
        <w:spacing w:after="120" w:line="240" w:lineRule="auto"/>
      </w:pPr>
      <w:r>
        <w:t>Niesamowite znaczenie ma też utrzymanie ciągłości działań i wysiłków na rzecz otwarcia nowych rynków i zniesienia barier handlowych, gdzie to tylko możliwe. Dlatego też należałoby przeprowadzić</w:t>
      </w:r>
      <w:r>
        <w:rPr>
          <w:b/>
          <w:szCs w:val="21"/>
        </w:rPr>
        <w:t xml:space="preserve"> analizę potencjalnych barier SPS</w:t>
      </w:r>
      <w:r>
        <w:t xml:space="preserve"> oraz możliwości ich zniesienia. Tylko wtedy będziemy mogli w pełni wykorzystać potencjał polityki promocji. </w:t>
      </w:r>
    </w:p>
    <w:p w:rsidR="004D1ABD" w:rsidRDefault="004D1ABD" w:rsidP="004D1ABD">
      <w:pPr>
        <w:spacing w:after="120" w:line="240" w:lineRule="auto"/>
      </w:pPr>
      <w:r>
        <w:t>Koniecznie trzeba</w:t>
      </w:r>
      <w:r>
        <w:rPr>
          <w:b/>
          <w:szCs w:val="21"/>
        </w:rPr>
        <w:t xml:space="preserve"> przyjrzeć się sąsiadującym regionom i krajom</w:t>
      </w:r>
      <w:r>
        <w:t xml:space="preserve">, jak Norwegia, Turcja, państwa Afryki Północnej czy Szwajcaria, w szczególności w odniesieniu do produktów łatwo psujących się i sektorów doświadczających trudności eksportowych związanych z logistyką. Równocześnie fundamentalne znaczenie ma usunięcie barier handlowych występujących w tych krajach, by wzmocnić eksport. W aktualnym kontekście należy wziąć pod uwagę potencjalne, poważne skutki </w:t>
      </w:r>
      <w:proofErr w:type="spellStart"/>
      <w:r>
        <w:t>brexitu</w:t>
      </w:r>
      <w:proofErr w:type="spellEnd"/>
      <w:r>
        <w:t xml:space="preserve"> dla unijnego sektora rolnego. Podobne obawy związane są z taryfami celnymi nakładanymi przez państwa trzecie (np. USA) na produkty rolno-spożywcze UE. Unia Europejska musi nadal pracować nad dynamiczną polityką eksportową skupiającą się na rynkach rozwijających się w krajach trzecich, a także na najbardziej narażonych sektorach. Polityka promocji UE powinna odegrać ważną rolę pomagając unijnym podmiotom w określeniu nowych rynków i wejściu na nie.</w:t>
      </w:r>
    </w:p>
    <w:p w:rsidR="004D1ABD" w:rsidRDefault="004D1ABD" w:rsidP="004D1ABD">
      <w:pPr>
        <w:spacing w:after="120" w:line="240" w:lineRule="auto"/>
      </w:pPr>
    </w:p>
    <w:p w:rsidR="004D1ABD" w:rsidRDefault="004D1ABD" w:rsidP="004D1ABD">
      <w:pPr>
        <w:spacing w:after="120" w:line="240" w:lineRule="auto"/>
      </w:pPr>
      <w:r>
        <w:rPr>
          <w:b/>
          <w:sz w:val="24"/>
        </w:rPr>
        <w:t xml:space="preserve">Programy dotyczące wielu krajów </w:t>
      </w:r>
    </w:p>
    <w:p w:rsidR="004D1ABD" w:rsidRDefault="004D1ABD" w:rsidP="004D1ABD">
      <w:pPr>
        <w:spacing w:after="120" w:line="240" w:lineRule="auto"/>
      </w:pPr>
      <w:r>
        <w:t xml:space="preserve">Unijni rolnicy i spółdzielnie rolnicze twierdzą, że konieczne jest kontynuowanie działań obejmujących tworzenie dynamicznych sieci zachęcających do opracowywania programów obejmujących wiele krajów w przyszłości. Chętnie zaangażujemy się w przyszłe działania. </w:t>
      </w:r>
    </w:p>
    <w:p w:rsidR="004D1ABD" w:rsidRDefault="004D1ABD" w:rsidP="004D1ABD">
      <w:pPr>
        <w:spacing w:after="120" w:line="240" w:lineRule="auto"/>
      </w:pPr>
      <w:r>
        <w:rPr>
          <w:b/>
          <w:szCs w:val="21"/>
        </w:rPr>
        <w:t xml:space="preserve">Członkowie </w:t>
      </w:r>
      <w:proofErr w:type="spellStart"/>
      <w:r>
        <w:rPr>
          <w:b/>
          <w:szCs w:val="21"/>
        </w:rPr>
        <w:t>Copa</w:t>
      </w:r>
      <w:proofErr w:type="spellEnd"/>
      <w:r>
        <w:rPr>
          <w:b/>
          <w:szCs w:val="21"/>
        </w:rPr>
        <w:t xml:space="preserve"> i </w:t>
      </w:r>
      <w:proofErr w:type="spellStart"/>
      <w:r>
        <w:rPr>
          <w:b/>
          <w:szCs w:val="21"/>
        </w:rPr>
        <w:t>Cogeca</w:t>
      </w:r>
      <w:proofErr w:type="spellEnd"/>
      <w:r>
        <w:rPr>
          <w:b/>
          <w:szCs w:val="21"/>
        </w:rPr>
        <w:t xml:space="preserve"> mają jednak dużo większe trudności z zarządzaniem programami obejmującymi wiele krajów i ich koordynacją,</w:t>
      </w:r>
      <w:r>
        <w:t xml:space="preserve"> gdyż wymagają one zaangażowania partnerów pochodzących z rożnych państw członkowskich, posługujących się różnymi językami i należąc do różnych kultur. Stworzenie efektywnego konsorcjum, do którego należeliby liczni potencjalni partnerzy, a także zobowiązanie się do złożenia wspólnego wniosku, </w:t>
      </w:r>
      <w:r>
        <w:lastRenderedPageBreak/>
        <w:t>jest dużo bardziej ryzykowne i wymaga dużo większego nakładu czasu i pieniędzy niż przygotowanie programu prostego. To właśnie programy proste są narzędziem najczęściej wybieranym przez europejskich rolników i ich spółdzielnie.</w:t>
      </w:r>
    </w:p>
    <w:p w:rsidR="004D1ABD" w:rsidRDefault="004D1ABD" w:rsidP="004D1ABD">
      <w:pPr>
        <w:spacing w:after="120" w:line="240" w:lineRule="auto"/>
      </w:pPr>
      <w:r>
        <w:t xml:space="preserve">Programami prostymi zarządzają poszczególne państwa członkowskie, podczas gdy </w:t>
      </w:r>
      <w:r>
        <w:rPr>
          <w:b/>
          <w:szCs w:val="21"/>
        </w:rPr>
        <w:t xml:space="preserve">programy obejmujące wiele krajów korzystają z bezpośredniego zaangażowania </w:t>
      </w:r>
      <w:proofErr w:type="spellStart"/>
      <w:r>
        <w:rPr>
          <w:b/>
          <w:szCs w:val="21"/>
        </w:rPr>
        <w:t>Chafea</w:t>
      </w:r>
      <w:proofErr w:type="spellEnd"/>
      <w:r>
        <w:rPr>
          <w:b/>
          <w:szCs w:val="21"/>
        </w:rPr>
        <w:t>.</w:t>
      </w:r>
      <w:r>
        <w:t xml:space="preserve"> Okazało się, że </w:t>
      </w:r>
      <w:proofErr w:type="spellStart"/>
      <w:r>
        <w:t>Chafea</w:t>
      </w:r>
      <w:proofErr w:type="spellEnd"/>
      <w:r>
        <w:t xml:space="preserve"> jest bardziej elastyczna i zaangażowana w znalezienie rozwiązań konkretnych problemów od jej krajowych odpowiedników, które sztywno trzymają się zasad i nie udzielają wnioskodawcom prawdziwego wsparcia. Z naszego doświadczenia wynika, że wnioskodawcy, którzy mieli do czynienia z </w:t>
      </w:r>
      <w:proofErr w:type="spellStart"/>
      <w:r>
        <w:t>Chafea</w:t>
      </w:r>
      <w:proofErr w:type="spellEnd"/>
      <w:r>
        <w:t xml:space="preserve"> i z wyznaczonymi władzami krajowymi stwierdzili, że wyjaśnienia i wsparcie udzielone przez </w:t>
      </w:r>
      <w:proofErr w:type="spellStart"/>
      <w:r>
        <w:t>Chafea</w:t>
      </w:r>
      <w:proofErr w:type="spellEnd"/>
      <w:r>
        <w:t xml:space="preserve"> były jaśniejsze. Naszym zdaniem Komisja Europejska i </w:t>
      </w:r>
      <w:proofErr w:type="spellStart"/>
      <w:r>
        <w:t>Chafea</w:t>
      </w:r>
      <w:proofErr w:type="spellEnd"/>
      <w:r>
        <w:t xml:space="preserve"> mają tu ważną rolę do odegrania, nieograniczającą się jedynie do wsparcia technicznego lecz obejmującą również ułatwianie nawiązywania kontaktów i wymiany najlepszych praktyk pomiędzy partnerami z różnych państw członkowskich i sektorów, którzy chcieliby zbadać możliwości stworzenia wspólnych kampanii obejmujących wiele krajów.  W rzeczy samej, </w:t>
      </w:r>
      <w:r>
        <w:rPr>
          <w:b/>
          <w:szCs w:val="21"/>
        </w:rPr>
        <w:t xml:space="preserve">nowy portal i działalność </w:t>
      </w:r>
      <w:proofErr w:type="spellStart"/>
      <w:r>
        <w:rPr>
          <w:b/>
          <w:szCs w:val="21"/>
        </w:rPr>
        <w:t>Chafea</w:t>
      </w:r>
      <w:proofErr w:type="spellEnd"/>
      <w:r>
        <w:rPr>
          <w:b/>
          <w:szCs w:val="21"/>
        </w:rPr>
        <w:t xml:space="preserve"> są doskonałymi inicjatywami</w:t>
      </w:r>
      <w:r>
        <w:t xml:space="preserve">, które mogą to ułatwić. </w:t>
      </w:r>
      <w:r>
        <w:rPr>
          <w:b/>
          <w:szCs w:val="21"/>
        </w:rPr>
        <w:t>Doroczny Dzień Informacyjny (Info Day) dotyczący zaproszeń do składania wniosków</w:t>
      </w:r>
      <w:r>
        <w:t xml:space="preserve"> zapewnia uczestnikom cenne możliwości nawiązywania kontaktów i obejmuje sugestie dotyczące poprawy wybieralności wniosków. </w:t>
      </w:r>
    </w:p>
    <w:p w:rsidR="004D1ABD" w:rsidRDefault="004D1ABD" w:rsidP="004D1ABD">
      <w:pPr>
        <w:spacing w:after="120" w:line="240" w:lineRule="auto"/>
      </w:pPr>
    </w:p>
    <w:p w:rsidR="004D1ABD" w:rsidRDefault="004D1ABD" w:rsidP="004D1ABD">
      <w:pPr>
        <w:spacing w:after="120" w:line="240" w:lineRule="auto"/>
      </w:pPr>
      <w:r>
        <w:rPr>
          <w:b/>
          <w:sz w:val="24"/>
        </w:rPr>
        <w:t>Inicjatywy własne Komisji</w:t>
      </w:r>
    </w:p>
    <w:p w:rsidR="004D1ABD" w:rsidRDefault="004D1ABD" w:rsidP="004D1ABD">
      <w:pPr>
        <w:spacing w:after="120" w:line="240" w:lineRule="auto"/>
      </w:pPr>
      <w:r>
        <w:t xml:space="preserve">Z zadowoleniem przyjmujemy fakt, że ocena obejmuje również inicjatywy Komisji, takie jak misje wysokiego szczebla. Jeśli chodzi o promowanie produktów UE w krajach trzecich, musimy podejmować ciągłe wysiłki i działania mające na celu otwarcie nowych rynków i wyeliminowanie ewentualnych barier w handlu. Tylko wtedy będziemy mogli w pełni wykorzystać potencjał polityki promocji. Dlatego też </w:t>
      </w:r>
      <w:r>
        <w:rPr>
          <w:b/>
          <w:szCs w:val="21"/>
        </w:rPr>
        <w:t>z dużym zadowoleniem przyjmujemy misje wysokiego szczebla, które zostały już zorganizowane, jak również te, które mają dopiero nastąpić.</w:t>
      </w:r>
      <w:r>
        <w:t xml:space="preserve"> Te doskonałe inicjatywy ułatwiają nawiązywanie kontaktów i zachęcają do zawierania umów w sektorze rolno-spożywczym między partnerami z Europy i z całego świata Zwiększają także penetrację rynków zagranicznych przez produkty UE, zwłaszcza jeśli towarzyszą im udane kampanie promocyjne. Misje wysokiego szczebla o charakterze politycznym i handlowym, dają uczestnikom możliwości nawiązywania kontaktów z lokalnymi ambasadami, przedstawicielami handlowymi i podmiotami gospodarczymi, co ostatecznie prowadzi do penetracji nowych rynków i rozwoju silniejszych sieci handlowych.</w:t>
      </w:r>
    </w:p>
    <w:p w:rsidR="004D1ABD" w:rsidRDefault="004D1ABD" w:rsidP="004D1ABD">
      <w:pPr>
        <w:spacing w:after="120" w:line="240" w:lineRule="auto"/>
      </w:pPr>
    </w:p>
    <w:p w:rsidR="004D1ABD" w:rsidRDefault="004D1ABD" w:rsidP="004D1ABD">
      <w:pPr>
        <w:spacing w:after="120" w:line="240" w:lineRule="auto"/>
      </w:pPr>
      <w:r>
        <w:rPr>
          <w:b/>
          <w:sz w:val="24"/>
        </w:rPr>
        <w:t>Co dalej? Co można poprawić?</w:t>
      </w:r>
    </w:p>
    <w:p w:rsidR="004D1ABD" w:rsidRDefault="004D1ABD" w:rsidP="004D1ABD">
      <w:pPr>
        <w:pStyle w:val="Akapitzlist"/>
        <w:numPr>
          <w:ilvl w:val="0"/>
          <w:numId w:val="1"/>
        </w:numPr>
        <w:spacing w:after="120" w:line="240" w:lineRule="auto"/>
        <w:ind w:left="425" w:hanging="357"/>
      </w:pPr>
      <w:r>
        <w:rPr>
          <w:rFonts w:ascii="Georgia" w:hAnsi="Georgia"/>
          <w:sz w:val="21"/>
          <w:szCs w:val="21"/>
        </w:rPr>
        <w:t xml:space="preserve">Mimo że od momentu wejścia w życie polityki promocji ją cenimy i zwracamy uwagę na wynikające z niej korzyści, </w:t>
      </w:r>
      <w:proofErr w:type="spellStart"/>
      <w:r>
        <w:rPr>
          <w:rFonts w:ascii="Georgia" w:hAnsi="Georgia"/>
          <w:sz w:val="21"/>
          <w:szCs w:val="21"/>
        </w:rPr>
        <w:t>Copa</w:t>
      </w:r>
      <w:proofErr w:type="spellEnd"/>
      <w:r>
        <w:rPr>
          <w:rFonts w:ascii="Georgia" w:hAnsi="Georgia"/>
          <w:sz w:val="21"/>
          <w:szCs w:val="21"/>
        </w:rPr>
        <w:t xml:space="preserve"> i </w:t>
      </w:r>
      <w:proofErr w:type="spellStart"/>
      <w:r>
        <w:rPr>
          <w:rFonts w:ascii="Georgia" w:hAnsi="Georgia"/>
          <w:sz w:val="21"/>
          <w:szCs w:val="21"/>
        </w:rPr>
        <w:t>Cogeca</w:t>
      </w:r>
      <w:proofErr w:type="spellEnd"/>
      <w:r>
        <w:rPr>
          <w:rFonts w:ascii="Georgia" w:hAnsi="Georgia"/>
          <w:sz w:val="21"/>
          <w:szCs w:val="21"/>
        </w:rPr>
        <w:t xml:space="preserve"> chciałyby przedstawić kilka zaleceń dotyczących sposobów jej udoskonalenia w przyszłości. Jednym z priorytetów powinno być </w:t>
      </w:r>
      <w:r>
        <w:rPr>
          <w:rFonts w:ascii="Georgia" w:hAnsi="Georgia"/>
          <w:b/>
          <w:sz w:val="21"/>
          <w:szCs w:val="21"/>
        </w:rPr>
        <w:t>uelastycznienie</w:t>
      </w:r>
      <w:r>
        <w:rPr>
          <w:rFonts w:ascii="Georgia" w:hAnsi="Georgia"/>
          <w:sz w:val="21"/>
          <w:szCs w:val="21"/>
        </w:rPr>
        <w:t xml:space="preserve"> programów promocyjnych. Przesunięcie funduszy przeznaczonych na programy proste na programy obejmujące wiele krajów i odwrotnie, w zależności od sytuacji handlowej i potrzeb zmieniających się co roku, powinno być łatwiejsze. Na przykład, fundusze niewydane w ramach koperty na programy obejmujące wiele krajów powinny być inwestowane w sfinansowanie większej liczby programów prostych, które są zazwyczaj wybierane przez większą liczbę wnioskodawców. Ponieważ obecne ramy prawne nie zezwalają na taki mechanizm, proponujemy zmianę odnośnych artykułów, aby w razie potrzeby umożliwić zwiększenie płynności finansowania. Ze względu na fakt, że rolnicy i ich spółdzielnie borykają się z kryzysami cenowymi, niedopasowaniem popytu i podaży, embargami lub nakładaniem taryf celnych, Komisja Europejska powinna ułatwiać, w razie potrzeby, uruchomienie specjalnego budżetu, zwiększenie budżetu lub wydłużenie kampanii promocyjnej. Roczny program prac powinien być dostępny dla wszystkich produktów rolnych UE (nawet tytoniu i alkoholu), gdyż nie powinien dyskryminować żadnego produktu rolnego. Należy uznać elastyczność za jedno z dostępnych rutynowo narzędzi, a nie za wyjątek od reguły. Wynika to z faktu, że wiele sektorów rolnych doświadczyło licznych kryzysów, gdy kampanie promocyjne jeszcze trwały, co wpłynęło na nie w sposób proporcjonalny do wagi </w:t>
      </w:r>
      <w:r>
        <w:rPr>
          <w:rFonts w:ascii="Georgia" w:hAnsi="Georgia"/>
          <w:sz w:val="21"/>
          <w:szCs w:val="21"/>
        </w:rPr>
        <w:lastRenderedPageBreak/>
        <w:t>kryzysu. Do godnych uwagi przykładów można zaliczyć rosyjskie embargo, amerykańskie cła nałożone ostatnio na wiele produktów rolno-spożywczych, czy afrykański pomór świń. Chociaż zdajemy sobie sprawę, że 5 milionów euro przeznaczonych na zakłócenia na rynku, jak również możliwość zwiększenia odsetka współfinansowania, stanowią cenne możliwości zaradzenia nieprzewidzianym trudnościom w konkretnych sektorach lub w konkretnych krajach trzecich, należy przewidzieć i rozwinąć elastyczność w zakresie modyfikacji lub zwiększenia budżetu na konkretne programy, która stałaby się dodatkowym, trzecim mechanizmem. Ze względu na kryzys COVID-19 i jego nieprzewidywalne konsekwencje dla handlu wewnętrznego i międzynarodowego, zalecamy rozważenie przeprowadzenia analizy odporności i stabilności łańcuchów wartości, zwłaszcza tych międzynarodowych.</w:t>
      </w:r>
    </w:p>
    <w:p w:rsidR="004D1ABD" w:rsidRDefault="004D1ABD" w:rsidP="004D1ABD">
      <w:pPr>
        <w:spacing w:after="120" w:line="240" w:lineRule="auto"/>
        <w:ind w:left="425"/>
      </w:pPr>
      <w:r>
        <w:t xml:space="preserve">W odniesieniu do niedawnej decyzji panelu WTO, głęboko ubolewamy, że rolnictwo znowu musi słono zapłacić za decyzję polityczną w sprawie handlu, która z rolnictwem nie ma nic wspólnego. </w:t>
      </w:r>
      <w:proofErr w:type="spellStart"/>
      <w:r>
        <w:t>Copa-Cogeca</w:t>
      </w:r>
      <w:proofErr w:type="spellEnd"/>
      <w:r>
        <w:t xml:space="preserve"> apeluje, by obie strony zapobiegły eskalacji konfliktu stanowiącej zagrożenie dla sektora produktów rolno-spożywczych, przypomina również o zobowiązaniach do prowadzenia negocjacji handlowych w sposób uporządkowany i z poszanowaniem wielostronnych umów handlowych. Ta wyjątkowa i nieprzewidywalna sytuacja poważnie wpływa na handel produktami rolno-spożywczymi. Rolnicy po obu stronach Atlantyku potrzebują stabilizacji i zaufania, by móc poczynić długoterminowe inwestycje w celu zachowania konkurencyjności i atrakcyjności. Apelujemy do decydentów politycznych o stworzenie bardziej przewidywalnych warunków handlowych dla dobra społeczności rolniczej i konsumentów na całym świecie. </w:t>
      </w:r>
    </w:p>
    <w:p w:rsidR="004D1ABD" w:rsidRDefault="004D1ABD" w:rsidP="004D1ABD">
      <w:pPr>
        <w:spacing w:after="120" w:line="240" w:lineRule="auto"/>
        <w:ind w:left="425"/>
      </w:pPr>
      <w:r>
        <w:t xml:space="preserve">Z perspektywy społeczności rolniczej szczególne ważne jest stworzenie przewidywalnego międzynarodowego środowiska handlowego. Im słabsza jest WTO, tym bardziej rolnicy i spółdzielnie rolnicze na całym świecie są narażeni na zagrożenia i zmienność cen. Sektor rolny zwraca się do Komisji o szybkie udzielenie wsparcia, aby pomóc w przezwyciężeniu tego, co uważa za poważne i dramatyczne konsekwencje nałożenia przez USA 25%-owych ceł </w:t>
      </w:r>
      <w:r>
        <w:rPr>
          <w:i/>
          <w:szCs w:val="21"/>
        </w:rPr>
        <w:t>ad valorem</w:t>
      </w:r>
      <w:r>
        <w:t>. Podkreśla w szczególności, że wyniki kosztownych działań promocyjnych mających na celu zdobycie i konsolidację rynków w USA w ostatnich latach są poważnie zagrożone. Ponadto stosowanie tych taryf celnych będzie szkodliwe dla europejskich produktów rolno-spożywczych ze względu na dyskryminację, jaką wprowadzają one w stosunku do innych dostawców na rynku światowym.</w:t>
      </w:r>
    </w:p>
    <w:p w:rsidR="004D1ABD" w:rsidRDefault="004D1ABD" w:rsidP="004D1ABD">
      <w:pPr>
        <w:pStyle w:val="Akapitzlist"/>
        <w:numPr>
          <w:ilvl w:val="3"/>
          <w:numId w:val="2"/>
        </w:numPr>
        <w:spacing w:before="120" w:after="120" w:line="240" w:lineRule="auto"/>
        <w:ind w:left="425" w:hanging="357"/>
      </w:pPr>
      <w:r>
        <w:rPr>
          <w:rFonts w:ascii="Georgia" w:hAnsi="Georgia"/>
          <w:sz w:val="21"/>
          <w:szCs w:val="21"/>
        </w:rPr>
        <w:t xml:space="preserve">Uważamy, że wysokość współfinansowania przewidziana w polityce promocji skutecznie wspiera kampanie promocyjne i wnioskodawców. Ważne jest jednak, aby zwiększyć szybkość </w:t>
      </w:r>
      <w:r>
        <w:rPr>
          <w:rFonts w:ascii="Georgia" w:hAnsi="Georgia"/>
          <w:b/>
          <w:sz w:val="21"/>
          <w:szCs w:val="21"/>
        </w:rPr>
        <w:t>mechanizmów przepływu środków pieniężnych</w:t>
      </w:r>
      <w:r>
        <w:rPr>
          <w:rFonts w:ascii="Georgia" w:hAnsi="Georgia"/>
          <w:sz w:val="21"/>
          <w:szCs w:val="21"/>
        </w:rPr>
        <w:t xml:space="preserve">, zwłaszcza dla organizacji producentów, które mogą doświadczać problemów finansowych, jeśli nie otrzymają wsparcia ekonomicznego już na początku kampanii promocyjnych. </w:t>
      </w:r>
    </w:p>
    <w:p w:rsidR="004D1ABD" w:rsidRDefault="004D1ABD" w:rsidP="004D1ABD">
      <w:pPr>
        <w:pStyle w:val="Akapitzlist"/>
        <w:numPr>
          <w:ilvl w:val="3"/>
          <w:numId w:val="2"/>
        </w:numPr>
        <w:spacing w:before="120" w:after="120" w:line="240" w:lineRule="auto"/>
        <w:ind w:left="425" w:hanging="357"/>
      </w:pPr>
      <w:r>
        <w:rPr>
          <w:rFonts w:ascii="Georgia" w:hAnsi="Georgia"/>
          <w:sz w:val="21"/>
          <w:szCs w:val="21"/>
        </w:rPr>
        <w:t xml:space="preserve">Należy lepiej zdefiniować </w:t>
      </w:r>
      <w:r>
        <w:rPr>
          <w:rFonts w:ascii="Georgia" w:hAnsi="Georgia"/>
          <w:b/>
          <w:sz w:val="21"/>
          <w:szCs w:val="21"/>
        </w:rPr>
        <w:t>wskaźniki produktu</w:t>
      </w:r>
      <w:r>
        <w:rPr>
          <w:rFonts w:ascii="Georgia" w:hAnsi="Georgia"/>
          <w:sz w:val="21"/>
          <w:szCs w:val="21"/>
        </w:rPr>
        <w:t xml:space="preserve"> oraz lepiej je dostosować do konkretnych potrzeb różnych kategorii programów. Na przykład wskaźniki produktu związane z kampaniami promocyjnymi na rynku wewnętrznym powinny zdecydowanie różnić się od tych związanych z krajami trzecimi. Wskaźniki produktu dla rynku wewnętrznego nie mogą opierać się na danych eksportowych, lecz na takich czynnikach, jak liczba wydarzeń i uczestników, a także na innych parametrach typowych dla mediów społecznościowych.</w:t>
      </w:r>
    </w:p>
    <w:p w:rsidR="004D1ABD" w:rsidRDefault="004D1ABD" w:rsidP="004D1ABD">
      <w:pPr>
        <w:pStyle w:val="Akapitzlist"/>
        <w:numPr>
          <w:ilvl w:val="3"/>
          <w:numId w:val="2"/>
        </w:numPr>
        <w:spacing w:after="120" w:line="240" w:lineRule="auto"/>
        <w:ind w:left="425" w:hanging="357"/>
      </w:pPr>
      <w:r>
        <w:rPr>
          <w:rFonts w:ascii="Georgia" w:hAnsi="Georgia"/>
          <w:sz w:val="21"/>
          <w:szCs w:val="21"/>
        </w:rPr>
        <w:t>Roczny program prac został dostosowany do potrzeb rynku i zmieniających się z roku na rok realiów. W celu wsparcia określonych sektorów Komisja promowała</w:t>
      </w:r>
      <w:r>
        <w:rPr>
          <w:rFonts w:ascii="Georgia" w:hAnsi="Georgia"/>
          <w:b/>
          <w:sz w:val="21"/>
          <w:szCs w:val="21"/>
        </w:rPr>
        <w:t xml:space="preserve"> specjalne koperty finansowe</w:t>
      </w:r>
      <w:r>
        <w:rPr>
          <w:rFonts w:ascii="Georgia" w:hAnsi="Georgia"/>
          <w:sz w:val="21"/>
          <w:szCs w:val="21"/>
        </w:rPr>
        <w:t xml:space="preserve">, przygotowane by wspierać potrzebujące kategorie produkcji rolnej. Chociaż uważamy, że rzeczywiście wiele sektorów rolnictwa wymaga wsparcia finansowego w obliczu kryzysów rynkowych, to ostatnio byliśmy świadkami kilku przykładów, w których wsparcie z tytułu polityki promocji miało negatywny wpływ. Na przykład gdy Komisja przeznaczyła specjalną kopertę w rocznym programie prac 2019 na sektor oliwek stołowych, nie miał on możliwości zgłaszania projektów w ramach innych kopert. W związku z tym, mimo że sektor oliwek stołowych zmagał się z kryzysem rynkowym to finansowanie przyznane na projekty dotyczące oliwek stołowych było mniejsze niż w roku poprzednim. Wynika to z faktu, że w naborze 2018 r. wiele kampanii promocyjnych prowadzonych w ramach różnych tematów uzyskało finansowanie, a sektor ten nie musiał ograniczyć się do tylko jednej koperty. Sugerujemy zatem dalsze planowanie specjalnych kopert w ramach każdego rocznego programu prac, jednakże równocześnie proponujemy przyznawanie </w:t>
      </w:r>
      <w:r>
        <w:rPr>
          <w:rFonts w:ascii="Georgia" w:hAnsi="Georgia"/>
          <w:b/>
          <w:sz w:val="21"/>
          <w:szCs w:val="21"/>
        </w:rPr>
        <w:t xml:space="preserve">dodatkowych </w:t>
      </w:r>
      <w:r>
        <w:rPr>
          <w:rFonts w:ascii="Georgia" w:hAnsi="Georgia"/>
          <w:b/>
          <w:sz w:val="21"/>
          <w:szCs w:val="21"/>
        </w:rPr>
        <w:lastRenderedPageBreak/>
        <w:t>punktów podczas oceny</w:t>
      </w:r>
      <w:r>
        <w:rPr>
          <w:rFonts w:ascii="Georgia" w:hAnsi="Georgia"/>
          <w:sz w:val="21"/>
          <w:szCs w:val="21"/>
        </w:rPr>
        <w:t>, dodawanych do ostatecznego wyniku kampanii promocyjnych wspierających sektory w potrzebie. Takie podejście zagwarantowałoby konkretne wsparcie dla takich sektorów bez zamykania przed nimi innych możliwości w ramach rocznego programu prac.</w:t>
      </w:r>
    </w:p>
    <w:p w:rsidR="004D1ABD" w:rsidRDefault="004D1ABD" w:rsidP="004D1ABD">
      <w:pPr>
        <w:pStyle w:val="Akapitzlist"/>
        <w:numPr>
          <w:ilvl w:val="3"/>
          <w:numId w:val="2"/>
        </w:numPr>
        <w:spacing w:after="120" w:line="240" w:lineRule="auto"/>
        <w:ind w:left="425" w:hanging="357"/>
      </w:pPr>
      <w:r>
        <w:rPr>
          <w:rFonts w:ascii="Georgia" w:hAnsi="Georgia"/>
          <w:sz w:val="21"/>
          <w:szCs w:val="21"/>
        </w:rPr>
        <w:t xml:space="preserve">Jeśli jakaś organizacja już jest zarejestrowana, ponowne wprowadzanie danych podczas </w:t>
      </w:r>
      <w:r>
        <w:rPr>
          <w:rFonts w:ascii="Georgia" w:hAnsi="Georgia"/>
          <w:b/>
          <w:sz w:val="21"/>
          <w:szCs w:val="21"/>
        </w:rPr>
        <w:t>procedury składania wniosków</w:t>
      </w:r>
      <w:r>
        <w:rPr>
          <w:rFonts w:ascii="Georgia" w:hAnsi="Georgia"/>
          <w:sz w:val="21"/>
          <w:szCs w:val="21"/>
        </w:rPr>
        <w:t xml:space="preserve"> nie powinno być konieczne, powinno wystarczyć zatwierdzenie danych zapisanych w systemie. Zredagowanie i zgłoszenie projektu kampanii promocyjnej wiązało się z wysokimi kosztami, jakie ponosili nasi członkowie, którzy często musieli korzystać w profesjonalnej pomocy i wsparcia, ze względu na dużą szczegółowość wniosków. Aby pomóc potencjalnym wnioskodawcom i ograniczyć obciążenia administracyjne i finansowe, zalecamy opracowanie </w:t>
      </w:r>
      <w:r>
        <w:rPr>
          <w:rFonts w:ascii="Georgia" w:hAnsi="Georgia"/>
          <w:b/>
          <w:sz w:val="21"/>
          <w:szCs w:val="21"/>
        </w:rPr>
        <w:t>dwuetapowej procedury</w:t>
      </w:r>
      <w:r>
        <w:rPr>
          <w:rFonts w:ascii="Georgia" w:hAnsi="Georgia"/>
          <w:sz w:val="21"/>
          <w:szCs w:val="21"/>
        </w:rPr>
        <w:t>, w której jedynie wnioskodawcy, którzy pomyślnie przejdą próbę kwalifikowalności (tj. informacje na temat zgłaszającego, podsumowanie kampanii promocyjnej) przejdą do drugiego i ostatniego etapu, czyli do złożenia pełnego wniosku. W ten sposób wnioskodawcy, nie mający pewności co do tego czy się kwalifikują, nie musieli by inwestować zbyt wiele czasu i pieniędzy na początku procesu.</w:t>
      </w:r>
    </w:p>
    <w:p w:rsidR="004D1ABD" w:rsidRDefault="004D1ABD" w:rsidP="004D1ABD">
      <w:pPr>
        <w:pStyle w:val="Akapitzlist"/>
        <w:numPr>
          <w:ilvl w:val="3"/>
          <w:numId w:val="2"/>
        </w:numPr>
        <w:spacing w:after="120" w:line="240" w:lineRule="auto"/>
        <w:ind w:left="425" w:hanging="357"/>
      </w:pPr>
      <w:r>
        <w:rPr>
          <w:rFonts w:ascii="Georgia" w:hAnsi="Georgia"/>
          <w:sz w:val="21"/>
          <w:szCs w:val="21"/>
        </w:rPr>
        <w:t xml:space="preserve">Kwestia </w:t>
      </w:r>
      <w:r>
        <w:rPr>
          <w:rFonts w:ascii="Georgia" w:hAnsi="Georgia"/>
          <w:b/>
          <w:sz w:val="21"/>
          <w:szCs w:val="21"/>
        </w:rPr>
        <w:t>reprezentatywności</w:t>
      </w:r>
      <w:r>
        <w:rPr>
          <w:rFonts w:ascii="Georgia" w:hAnsi="Georgia"/>
          <w:sz w:val="21"/>
          <w:szCs w:val="21"/>
        </w:rPr>
        <w:t xml:space="preserve"> pozostaje trudna i niejasna: w praktyce okazało się, że przedstawiciele i organizacje w teorii zdolne do podpisania umowy, często nie były w stanie przeprowadzić kampanii promocyjnej zgodnie z jej założeniami. Zainstalowanie samouczącego się systemu, w którym organizacje mogące wydać przyznane fundusze byłyby traktowane jak zarejestrowani klienci stanowiłoby pewną poprawę. </w:t>
      </w:r>
    </w:p>
    <w:p w:rsidR="004D1ABD" w:rsidRDefault="004D1ABD" w:rsidP="004D1ABD">
      <w:pPr>
        <w:pStyle w:val="Akapitzlist"/>
        <w:numPr>
          <w:ilvl w:val="0"/>
          <w:numId w:val="2"/>
        </w:numPr>
        <w:spacing w:after="120" w:line="240" w:lineRule="auto"/>
        <w:ind w:left="425" w:hanging="357"/>
      </w:pPr>
      <w:r>
        <w:rPr>
          <w:rFonts w:ascii="Georgia" w:hAnsi="Georgia"/>
          <w:sz w:val="21"/>
          <w:szCs w:val="21"/>
        </w:rPr>
        <w:t xml:space="preserve">Najtrudniej było składać wnioski i zarządzać programami obejmującymi wiele krajów. Mogłyby one skorzystać na uproszczeniu systemu zatwierdzania (np. LEAR, </w:t>
      </w:r>
      <w:proofErr w:type="spellStart"/>
      <w:r>
        <w:rPr>
          <w:rFonts w:ascii="Georgia" w:hAnsi="Georgia"/>
          <w:sz w:val="21"/>
          <w:szCs w:val="21"/>
        </w:rPr>
        <w:t>PLSign</w:t>
      </w:r>
      <w:proofErr w:type="spellEnd"/>
      <w:r>
        <w:rPr>
          <w:rFonts w:ascii="Georgia" w:hAnsi="Georgia"/>
          <w:sz w:val="21"/>
          <w:szCs w:val="21"/>
        </w:rPr>
        <w:t xml:space="preserve">, </w:t>
      </w:r>
      <w:proofErr w:type="spellStart"/>
      <w:r>
        <w:rPr>
          <w:rFonts w:ascii="Georgia" w:hAnsi="Georgia"/>
          <w:sz w:val="21"/>
          <w:szCs w:val="21"/>
        </w:rPr>
        <w:t>FLSign</w:t>
      </w:r>
      <w:proofErr w:type="spellEnd"/>
      <w:r>
        <w:rPr>
          <w:rFonts w:ascii="Georgia" w:hAnsi="Georgia"/>
          <w:sz w:val="21"/>
          <w:szCs w:val="21"/>
        </w:rPr>
        <w:t xml:space="preserve">). Obecny system zbytnio przypomina system stosowany w przypadku innych programów o odmiennym celu (np. systemy informatyczne Horyzontu 2020). Chociaż wsparcie udzielane przez </w:t>
      </w:r>
      <w:proofErr w:type="spellStart"/>
      <w:r>
        <w:rPr>
          <w:rFonts w:ascii="Georgia" w:hAnsi="Georgia"/>
          <w:sz w:val="21"/>
          <w:szCs w:val="21"/>
        </w:rPr>
        <w:t>Chafea</w:t>
      </w:r>
      <w:proofErr w:type="spellEnd"/>
      <w:r>
        <w:rPr>
          <w:rFonts w:ascii="Georgia" w:hAnsi="Georgia"/>
          <w:sz w:val="21"/>
          <w:szCs w:val="21"/>
        </w:rPr>
        <w:t xml:space="preserve"> jest wydajne i godne zaufania, systemy informatyczne wykorzystywane do zarządzania programami obejmującymi wiele krajów są znacznie bardziej czasochłonne i uciążliwe w porównaniu z narzędziami informatycznymi wykorzystywanymi w przypadku programów prostych. Ponadto, osoba(y) podpisująca(e) i składająca(e) wniosek powinna(y) być jedynie główną osobą odpowiedzialną za projekt. Po rozpoczęciu projektu najczęściej wymagane jest </w:t>
      </w:r>
      <w:r>
        <w:rPr>
          <w:rFonts w:ascii="Georgia" w:hAnsi="Georgia"/>
          <w:b/>
          <w:sz w:val="21"/>
          <w:szCs w:val="21"/>
        </w:rPr>
        <w:t>wsparcie</w:t>
      </w:r>
      <w:r>
        <w:rPr>
          <w:rFonts w:ascii="Georgia" w:hAnsi="Georgia"/>
          <w:sz w:val="21"/>
          <w:szCs w:val="21"/>
        </w:rPr>
        <w:t xml:space="preserve"> obejmujące materiały promocyjne, zmianę działań i budżetu, a także składanie dokumentów, by sprostać wymaganiom Komisji. Apelujemy do </w:t>
      </w:r>
      <w:proofErr w:type="spellStart"/>
      <w:r>
        <w:rPr>
          <w:rFonts w:ascii="Georgia" w:hAnsi="Georgia"/>
          <w:sz w:val="21"/>
          <w:szCs w:val="21"/>
        </w:rPr>
        <w:t>Chafea</w:t>
      </w:r>
      <w:proofErr w:type="spellEnd"/>
      <w:r>
        <w:rPr>
          <w:rFonts w:ascii="Georgia" w:hAnsi="Georgia"/>
          <w:sz w:val="21"/>
          <w:szCs w:val="21"/>
        </w:rPr>
        <w:t xml:space="preserve"> o niewysyłanie do wnioskodawców zbędnych próśb o aktualizację realizowanych programów obejmujących wiele krajów. Uproszczenie i ograniczenie obciążeń administracyjnych odgrywa kluczową rolę w optymalizacji sukcesu kampanii promocyjnej.</w:t>
      </w:r>
    </w:p>
    <w:p w:rsidR="004D1ABD" w:rsidRDefault="004D1ABD" w:rsidP="004D1ABD">
      <w:pPr>
        <w:pStyle w:val="Akapitzlist"/>
        <w:numPr>
          <w:ilvl w:val="0"/>
          <w:numId w:val="2"/>
        </w:numPr>
        <w:spacing w:after="120" w:line="240" w:lineRule="auto"/>
        <w:ind w:left="425" w:hanging="357"/>
      </w:pPr>
      <w:r>
        <w:rPr>
          <w:rFonts w:ascii="Georgia" w:hAnsi="Georgia"/>
          <w:b/>
          <w:sz w:val="21"/>
          <w:szCs w:val="21"/>
        </w:rPr>
        <w:t>W inicjatywach własnych</w:t>
      </w:r>
      <w:r>
        <w:rPr>
          <w:rFonts w:ascii="Georgia" w:hAnsi="Georgia"/>
          <w:sz w:val="21"/>
          <w:szCs w:val="21"/>
        </w:rPr>
        <w:t xml:space="preserve"> Komisja mogłaby w większym stopniu uwzględnić prywatne przedsiębiorstwa w pawilonie UE na targach, np. rezerwując pewną przestrzeń (x m</w:t>
      </w:r>
      <w:r>
        <w:rPr>
          <w:rFonts w:ascii="Georgia" w:hAnsi="Georgia"/>
          <w:sz w:val="21"/>
          <w:szCs w:val="21"/>
          <w:vertAlign w:val="superscript"/>
        </w:rPr>
        <w:t>2</w:t>
      </w:r>
      <w:r>
        <w:rPr>
          <w:rFonts w:ascii="Georgia" w:hAnsi="Georgia"/>
          <w:sz w:val="21"/>
          <w:szCs w:val="21"/>
        </w:rPr>
        <w:t xml:space="preserve">), którą firmy mogłyby wynająć. Taka możliwość powinna być zarezerwowana w szczególności dla europejskich małych i średnich przedsiębiorstw (MŚP), które potrzebują wsparcia w znacznie większym stopniu niż przedsiębiorstwa wielonarodowe rozproszone po wielu kontynentach. Obecność prywatnych firm może przyciągnąć większą liczbę odwiedzających i zwiększyć wartość marki „UE”. Dlatego też proponujemy przeznaczenie niewielkiej części budżetu (np. 5 mln euro) na udział MŚP w targach międzynarodowych i na zagwarantowanie jak najszerszego zasięgu geograficznego. Inne kraje trzecie z powodzeniem wprowadziły takie podejście, a znormalizowane i zharmonizowane strategie wizualne i marketingowe okazały się skuteczne na międzynarodowych targach. Do wyboru (na podstawie przejrzystych kryteriów) uczestników przygotowujących stoiska w pawilonie UE na targach międzynarodowych należy również zaangażować państwa członkowskie i przeprowadzić z nimi konsultacje. </w:t>
      </w:r>
    </w:p>
    <w:p w:rsidR="004D1ABD" w:rsidRDefault="004D1ABD" w:rsidP="004D1ABD">
      <w:pPr>
        <w:pStyle w:val="Akapitzlist"/>
        <w:numPr>
          <w:ilvl w:val="0"/>
          <w:numId w:val="2"/>
        </w:numPr>
        <w:spacing w:after="120" w:line="240" w:lineRule="auto"/>
        <w:ind w:left="425" w:hanging="357"/>
      </w:pPr>
      <w:r>
        <w:rPr>
          <w:rFonts w:ascii="Georgia" w:hAnsi="Georgia"/>
          <w:sz w:val="21"/>
          <w:szCs w:val="21"/>
        </w:rPr>
        <w:t xml:space="preserve">Zachęcamy do większej </w:t>
      </w:r>
      <w:r>
        <w:rPr>
          <w:rFonts w:ascii="Georgia" w:hAnsi="Georgia"/>
          <w:b/>
          <w:sz w:val="21"/>
          <w:szCs w:val="21"/>
        </w:rPr>
        <w:t>harmonizacji</w:t>
      </w:r>
      <w:r>
        <w:rPr>
          <w:rFonts w:ascii="Georgia" w:hAnsi="Georgia"/>
          <w:sz w:val="21"/>
          <w:szCs w:val="21"/>
        </w:rPr>
        <w:t xml:space="preserve"> i ujednolicenia podejścia </w:t>
      </w:r>
      <w:proofErr w:type="spellStart"/>
      <w:r>
        <w:rPr>
          <w:rFonts w:ascii="Georgia" w:hAnsi="Georgia"/>
          <w:sz w:val="21"/>
          <w:szCs w:val="21"/>
        </w:rPr>
        <w:t>Chafea</w:t>
      </w:r>
      <w:proofErr w:type="spellEnd"/>
      <w:r>
        <w:rPr>
          <w:rFonts w:ascii="Georgia" w:hAnsi="Georgia"/>
          <w:sz w:val="21"/>
          <w:szCs w:val="21"/>
        </w:rPr>
        <w:t xml:space="preserve"> i państw członkowskich, a także metod stosowanych przez poszczególne państwa członkowskie. Zauważyliśmy istotne różnice w interpretacji ram prawnych, a także w zakresie wsparcia udzielanego wnioskodawcom w zarządzaniu programami prostymi i obejmującymi wiele krajów. Taka sytuacja powoduje niepotrzebne zamieszanie, gdy państwa członkowskie lub </w:t>
      </w:r>
      <w:proofErr w:type="spellStart"/>
      <w:r>
        <w:rPr>
          <w:rFonts w:ascii="Georgia" w:hAnsi="Georgia"/>
          <w:sz w:val="21"/>
          <w:szCs w:val="21"/>
        </w:rPr>
        <w:t>Chafea</w:t>
      </w:r>
      <w:proofErr w:type="spellEnd"/>
      <w:r>
        <w:rPr>
          <w:rFonts w:ascii="Georgia" w:hAnsi="Georgia"/>
          <w:sz w:val="21"/>
          <w:szCs w:val="21"/>
        </w:rPr>
        <w:t xml:space="preserve"> dokonują przeglądu i monitorują kampanie promocyjne. Organy krajowe z każdego państwa członkowskiego różnie interpretują i wdrażają przepisy; dlatego też wnioskodawcy, którzy pomyślnie przejdą selekcję nie mają równych szans w odniesieniu do programów prostych, co ogranicza potencjał całej polityki promocyjnej. Godnym uwagi przykładem są </w:t>
      </w:r>
      <w:r>
        <w:rPr>
          <w:rFonts w:ascii="Georgia" w:hAnsi="Georgia"/>
          <w:sz w:val="21"/>
          <w:szCs w:val="21"/>
        </w:rPr>
        <w:lastRenderedPageBreak/>
        <w:t>zmiany w umowach o dofinansowanie: potrzebujemy jasnego podziału na zmiany „drobne” i „duże”, ponieważ nie możemy zaakceptować tego, że zmiany drobne (np. kanały komunikacyjne, lokalizacja wydarzenia, udział w konkretnym wydarzeniu) mogą opóźnić lub nawet zablokować realizację całej kampanii promocyjnej. Przekazanie informacji na temat drobnych zmian powinno być możliwe bez zwiększania obciążeń administracyjnych.</w:t>
      </w:r>
    </w:p>
    <w:p w:rsidR="004D1ABD" w:rsidRDefault="004D1ABD" w:rsidP="004D1ABD">
      <w:pPr>
        <w:pStyle w:val="Akapitzlist"/>
        <w:spacing w:after="120" w:line="240" w:lineRule="auto"/>
        <w:ind w:left="425"/>
      </w:pPr>
      <w:r>
        <w:rPr>
          <w:rFonts w:ascii="Georgia" w:hAnsi="Georgia"/>
          <w:sz w:val="21"/>
          <w:szCs w:val="21"/>
        </w:rPr>
        <w:t xml:space="preserve">Podobnie trzeba zapewnić harmonizację z roku na rok - niewybrani wnioskodawcy powinni mieć możliwość ponownego złożenia wniosku w następnym roku bez konieczności ponownego inwestowania tej samej ilości środków finansowych i czasu. Instytucje UE aktualizują </w:t>
      </w:r>
      <w:r>
        <w:rPr>
          <w:rFonts w:ascii="Georgia" w:hAnsi="Georgia"/>
          <w:b/>
          <w:sz w:val="21"/>
          <w:szCs w:val="21"/>
        </w:rPr>
        <w:t>„Przewodnik dla wnioskodawców”</w:t>
      </w:r>
      <w:r>
        <w:rPr>
          <w:rFonts w:ascii="Georgia" w:hAnsi="Georgia"/>
          <w:sz w:val="21"/>
          <w:szCs w:val="21"/>
        </w:rPr>
        <w:t xml:space="preserve"> każdego roku, przez co powstają zbędne obciążenia, gdyż wnioskodawcy muszą ponownie analizować bardzo obszerną dokumentację.</w:t>
      </w:r>
    </w:p>
    <w:p w:rsidR="004D1ABD" w:rsidRDefault="004D1ABD" w:rsidP="004D1ABD">
      <w:pPr>
        <w:pStyle w:val="Akapitzlist"/>
        <w:numPr>
          <w:ilvl w:val="0"/>
          <w:numId w:val="2"/>
        </w:numPr>
        <w:spacing w:after="120" w:line="240" w:lineRule="auto"/>
        <w:ind w:left="425" w:hanging="357"/>
      </w:pPr>
      <w:r>
        <w:rPr>
          <w:rFonts w:ascii="Georgia" w:hAnsi="Georgia"/>
          <w:sz w:val="21"/>
          <w:szCs w:val="21"/>
        </w:rPr>
        <w:t xml:space="preserve">Zachęcamy do przeprowadzenia przeglądu polityki dotyczącej </w:t>
      </w:r>
      <w:r>
        <w:rPr>
          <w:rFonts w:ascii="Georgia" w:hAnsi="Georgia"/>
          <w:b/>
          <w:sz w:val="21"/>
          <w:szCs w:val="21"/>
        </w:rPr>
        <w:t>znaków towarowych</w:t>
      </w:r>
      <w:r>
        <w:rPr>
          <w:rFonts w:ascii="Georgia" w:hAnsi="Georgia"/>
          <w:sz w:val="21"/>
          <w:szCs w:val="21"/>
        </w:rPr>
        <w:t>. Proponujemy zmianę polityki promocji w celu zwiększenia powierzchni przeznaczonej na logotypy znaków towarowych (do 20%) niezależnie od liczby umieszczonych logotypów, tzn. nawet w przypadku, gdy liczba widocznych znaków towarowych jest mniejsza niż pięć. Jest to szczególnie ważne w odniesieniu do rynków krajów trzecich i marek należących do organizacji producentów.</w:t>
      </w:r>
    </w:p>
    <w:p w:rsidR="004D1ABD" w:rsidRDefault="004D1ABD" w:rsidP="004D1ABD">
      <w:pPr>
        <w:spacing w:before="120" w:after="120" w:line="240" w:lineRule="auto"/>
        <w:ind w:left="425"/>
      </w:pPr>
    </w:p>
    <w:p w:rsidR="004D1ABD" w:rsidRDefault="004D1ABD" w:rsidP="004D1ABD">
      <w:pPr>
        <w:spacing w:before="120" w:after="120" w:line="240" w:lineRule="auto"/>
      </w:pPr>
      <w:r>
        <w:rPr>
          <w:b/>
          <w:sz w:val="24"/>
        </w:rPr>
        <w:t>Strategia „Od pola do stołu” a polityka promocji</w:t>
      </w:r>
    </w:p>
    <w:p w:rsidR="004D1ABD" w:rsidRDefault="004D1ABD" w:rsidP="004D1ABD">
      <w:pPr>
        <w:spacing w:after="120" w:line="240" w:lineRule="auto"/>
      </w:pPr>
      <w:r>
        <w:t xml:space="preserve">Europejski Zielony Ład i strategia „Od pola do stołu” są źródłem konkretnych szans dla europejskich rolników, właścicieli lasów, rybaków i ich spółdzielni. Dodatkowe wymogi i ograniczenia, przed którymi stanie europejskie rolnictwo i akwakultura, muszą być jednak odpowiednio komunikowane na rynku wewnętrznym UE i na świecie. Polityka promocji jest faktycznie jednym z najlepszych narzędzi promowania doskonałości produktów UE i zachęcania krajów trzecich do przejmowania unijnych norm </w:t>
      </w:r>
      <w:proofErr w:type="spellStart"/>
      <w:r>
        <w:t>zrównoważoności</w:t>
      </w:r>
      <w:proofErr w:type="spellEnd"/>
      <w:r>
        <w:t xml:space="preserve">. Produkty wytwarzane w krajach trzecich niekoniecznie będą spełniały te same normy, których przestrzegają europejscy rolnicy i spółdzielnie rolnicze w Europie, a zatem nasi producenci pierwotni znajdą się w niekorzystnej sytuacji konkurencyjnej. Konsumenci, zarówno na jednolitym rynku jak i na całym świecie, muszą być świadomi wyższej jakości produktów z UE, by byli gotowi ponieść część obciążeń finansowych związanych z </w:t>
      </w:r>
      <w:r>
        <w:rPr>
          <w:i/>
          <w:szCs w:val="21"/>
        </w:rPr>
        <w:t xml:space="preserve">odpowiedzialnością w zakresie </w:t>
      </w:r>
      <w:proofErr w:type="spellStart"/>
      <w:r>
        <w:rPr>
          <w:i/>
          <w:szCs w:val="21"/>
        </w:rPr>
        <w:t>zrównoważoności</w:t>
      </w:r>
      <w:proofErr w:type="spellEnd"/>
      <w:r>
        <w:rPr>
          <w:i/>
          <w:szCs w:val="21"/>
        </w:rPr>
        <w:t xml:space="preserve"> </w:t>
      </w:r>
      <w:r>
        <w:t xml:space="preserve">wraz z producentami pierwotnymi i całym łańcuchem żywnościowym. Niedawny kryzys COVID-19 wykazał, że dla producentów pierwotnych większe znaczenie ma rynek wewnętrzny niż kraje trzecie. Jednak państwa trzecie nadal stwarzają konkretne możliwości handlowe, choć są one bardziej wrażliwe i podatne na potencjalne zakłócenia w czasach kryzysu. </w:t>
      </w:r>
    </w:p>
    <w:p w:rsidR="004D1ABD" w:rsidRDefault="004D1ABD" w:rsidP="004D1ABD">
      <w:pPr>
        <w:spacing w:after="160" w:line="254" w:lineRule="auto"/>
      </w:pPr>
      <w:r>
        <w:t>Ostatecznie</w:t>
      </w:r>
      <w:r>
        <w:rPr>
          <w:b/>
          <w:szCs w:val="21"/>
        </w:rPr>
        <w:t xml:space="preserve"> polityka promocyjna stanowi konkretną okazję do dostosowania rynku do potrzeb konsumentów, zapewniając większą </w:t>
      </w:r>
      <w:proofErr w:type="spellStart"/>
      <w:r>
        <w:rPr>
          <w:b/>
          <w:szCs w:val="21"/>
        </w:rPr>
        <w:t>zrównoważoność</w:t>
      </w:r>
      <w:proofErr w:type="spellEnd"/>
      <w:r>
        <w:rPr>
          <w:b/>
          <w:szCs w:val="21"/>
        </w:rPr>
        <w:t xml:space="preserve"> systemów rolno-spożywczych na całym świecie.</w:t>
      </w:r>
    </w:p>
    <w:p w:rsidR="004D1ABD" w:rsidRDefault="004D1ABD" w:rsidP="004D1ABD">
      <w:pPr>
        <w:spacing w:after="160" w:line="254" w:lineRule="auto"/>
        <w:jc w:val="center"/>
      </w:pPr>
      <w:r>
        <w:t>_______________</w:t>
      </w:r>
    </w:p>
    <w:p w:rsidR="00F16ABF" w:rsidRDefault="00F16ABF"/>
    <w:sectPr w:rsidR="00F16A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4D0" w:rsidRDefault="009954D0" w:rsidP="004D1ABD">
      <w:pPr>
        <w:spacing w:line="240" w:lineRule="auto"/>
      </w:pPr>
      <w:r>
        <w:separator/>
      </w:r>
    </w:p>
  </w:endnote>
  <w:endnote w:type="continuationSeparator" w:id="0">
    <w:p w:rsidR="009954D0" w:rsidRDefault="009954D0" w:rsidP="004D1A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4D0" w:rsidRDefault="009954D0" w:rsidP="004D1ABD">
      <w:pPr>
        <w:spacing w:line="240" w:lineRule="auto"/>
      </w:pPr>
      <w:r>
        <w:separator/>
      </w:r>
    </w:p>
  </w:footnote>
  <w:footnote w:type="continuationSeparator" w:id="0">
    <w:p w:rsidR="009954D0" w:rsidRDefault="009954D0" w:rsidP="004D1ABD">
      <w:pPr>
        <w:spacing w:line="240" w:lineRule="auto"/>
      </w:pPr>
      <w:r>
        <w:continuationSeparator/>
      </w:r>
    </w:p>
  </w:footnote>
  <w:footnote w:id="1">
    <w:p w:rsidR="004D1ABD" w:rsidRDefault="004D1ABD" w:rsidP="004D1ABD">
      <w:pPr>
        <w:pStyle w:val="Tekstprzypisudolnego"/>
        <w:spacing w:line="240" w:lineRule="auto"/>
      </w:pPr>
      <w:r>
        <w:rPr>
          <w:rStyle w:val="FootnoteCharacters"/>
          <w:rFonts w:ascii="Liberation Serif" w:hAnsi="Liberation Serif"/>
        </w:rPr>
        <w:footnoteRef/>
      </w:r>
      <w:r>
        <w:rPr>
          <w:sz w:val="18"/>
        </w:rPr>
        <w:t xml:space="preserve"> Odnosimy się tu do kryteriów wymienionych w art. 16 ust. 1 lit. (c) rozporządzenia (UE) nr 1305/2013</w:t>
      </w:r>
    </w:p>
  </w:footnote>
  <w:footnote w:id="2">
    <w:p w:rsidR="004D1ABD" w:rsidRDefault="004D1ABD" w:rsidP="004D1ABD">
      <w:pPr>
        <w:pStyle w:val="Tekstprzypisudolnego"/>
        <w:spacing w:line="240" w:lineRule="auto"/>
      </w:pPr>
      <w:r>
        <w:rPr>
          <w:rStyle w:val="FootnoteCharacters"/>
          <w:rFonts w:ascii="Liberation Serif" w:hAnsi="Liberation Serif"/>
        </w:rPr>
        <w:footnoteRef/>
      </w:r>
      <w:r>
        <w:rPr>
          <w:sz w:val="18"/>
        </w:rPr>
        <w:t xml:space="preserve"> Komunikat Komisji — Wytyczne UE dotyczące najlepszych praktyk dla dobrowolnych systemów certyfikacji produktów rolnych i środków spożywczych. [2010/C 341/04]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lang w:val="en-US"/>
      </w:rPr>
    </w:lvl>
  </w:abstractNum>
  <w:abstractNum w:abstractNumId="1" w15:restartNumberingAfterBreak="0">
    <w:nsid w:val="00000003"/>
    <w:multiLevelType w:val="multilevel"/>
    <w:tmpl w:val="00000003"/>
    <w:name w:val="WW8Num2"/>
    <w:lvl w:ilvl="0">
      <w:start w:val="1"/>
      <w:numFmt w:val="bullet"/>
      <w:lvlText w:val=""/>
      <w:lvlJc w:val="left"/>
      <w:pPr>
        <w:tabs>
          <w:tab w:val="num" w:pos="0"/>
        </w:tabs>
        <w:ind w:left="720" w:hanging="360"/>
      </w:pPr>
      <w:rPr>
        <w:rFonts w:ascii="Symbol" w:hAnsi="Symbol" w:cs="Symbol" w:hint="default"/>
        <w:sz w:val="21"/>
        <w:szCs w:val="21"/>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1"/>
        <w:szCs w:val="21"/>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1"/>
        <w:szCs w:val="21"/>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lvlOverride w:ilv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BD"/>
    <w:rsid w:val="004D1ABD"/>
    <w:rsid w:val="009954D0"/>
    <w:rsid w:val="00F16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C0414-3CBD-465D-B344-ED1B1B39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1ABD"/>
    <w:pPr>
      <w:suppressAutoHyphens/>
      <w:spacing w:after="0" w:line="260" w:lineRule="atLeast"/>
    </w:pPr>
    <w:rPr>
      <w:rFonts w:ascii="Georgia" w:eastAsia="Times New Roman" w:hAnsi="Georgia" w:cs="Georgia"/>
      <w:kern w:val="2"/>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4D1ABD"/>
    <w:rPr>
      <w:sz w:val="20"/>
      <w:szCs w:val="20"/>
    </w:rPr>
  </w:style>
  <w:style w:type="character" w:customStyle="1" w:styleId="TekstprzypisudolnegoZnak">
    <w:name w:val="Tekst przypisu dolnego Znak"/>
    <w:basedOn w:val="Domylnaczcionkaakapitu"/>
    <w:link w:val="Tekstprzypisudolnego"/>
    <w:semiHidden/>
    <w:rsid w:val="004D1ABD"/>
    <w:rPr>
      <w:rFonts w:ascii="Georgia" w:eastAsia="Times New Roman" w:hAnsi="Georgia" w:cs="Georgia"/>
      <w:kern w:val="2"/>
      <w:sz w:val="20"/>
      <w:szCs w:val="20"/>
      <w:lang w:eastAsia="pl-PL"/>
    </w:rPr>
  </w:style>
  <w:style w:type="paragraph" w:styleId="Akapitzlist">
    <w:name w:val="List Paragraph"/>
    <w:basedOn w:val="Normalny"/>
    <w:qFormat/>
    <w:rsid w:val="004D1ABD"/>
    <w:pPr>
      <w:spacing w:after="160" w:line="254" w:lineRule="auto"/>
      <w:ind w:left="720"/>
      <w:contextualSpacing/>
    </w:pPr>
    <w:rPr>
      <w:rFonts w:ascii="Calibri" w:eastAsia="Calibri" w:hAnsi="Calibri" w:cs="Calibri"/>
      <w:kern w:val="0"/>
      <w:sz w:val="22"/>
      <w:szCs w:val="22"/>
    </w:rPr>
  </w:style>
  <w:style w:type="character" w:customStyle="1" w:styleId="FootnoteCharacters">
    <w:name w:val="Footnote Characters"/>
    <w:rsid w:val="004D1A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8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4012</Words>
  <Characters>24074</Characters>
  <Application>Microsoft Office Word</Application>
  <DocSecurity>0</DocSecurity>
  <Lines>200</Lines>
  <Paragraphs>56</Paragraphs>
  <ScaleCrop>false</ScaleCrop>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2020-05-06T14:37:00Z</dcterms:created>
  <dcterms:modified xsi:type="dcterms:W3CDTF">2020-05-06T14:38:00Z</dcterms:modified>
</cp:coreProperties>
</file>