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27A" w:rsidRPr="00A060E9" w:rsidRDefault="00FF727A" w:rsidP="00FF727A">
      <w:pPr>
        <w:spacing w:after="200"/>
        <w:rPr>
          <w:szCs w:val="21"/>
        </w:rPr>
      </w:pPr>
      <w:r>
        <w:rPr>
          <w:sz w:val="22"/>
        </w:rPr>
        <w:t>28.04.2020 r.</w:t>
      </w:r>
    </w:p>
    <w:p w:rsidR="00FF727A" w:rsidRPr="006D5A0C" w:rsidRDefault="00FF727A" w:rsidP="00FF727A">
      <w:pPr>
        <w:autoSpaceDE w:val="0"/>
        <w:spacing w:after="160" w:line="259" w:lineRule="atLeast"/>
        <w:jc w:val="both"/>
        <w:rPr>
          <w:rFonts w:eastAsia="Georgia"/>
          <w:b/>
          <w:kern w:val="0"/>
          <w:sz w:val="47"/>
        </w:rPr>
      </w:pPr>
      <w:r>
        <w:rPr>
          <w:b/>
          <w:sz w:val="47"/>
        </w:rPr>
        <w:t>Komunikat prasowy</w:t>
      </w:r>
    </w:p>
    <w:p w:rsidR="00FF727A" w:rsidRPr="00101D50" w:rsidRDefault="00FF727A" w:rsidP="00FF727A">
      <w:pPr>
        <w:shd w:val="clear" w:color="auto" w:fill="FFFFFF"/>
        <w:spacing w:line="240" w:lineRule="auto"/>
        <w:jc w:val="both"/>
        <w:rPr>
          <w:b/>
          <w:color w:val="212121"/>
          <w:kern w:val="0"/>
          <w:sz w:val="28"/>
          <w:szCs w:val="22"/>
          <w:shd w:val="clear" w:color="auto" w:fill="FFFFFF"/>
        </w:rPr>
      </w:pPr>
      <w:r>
        <w:rPr>
          <w:b/>
          <w:color w:val="212121"/>
          <w:sz w:val="28"/>
          <w:szCs w:val="22"/>
          <w:shd w:val="clear" w:color="auto" w:fill="FFFFFF"/>
        </w:rPr>
        <w:t>Pilnie potrzebne szybkie decyzje w sprawie rozporządzenia przejściowego, by zapewnić społeczności rolniczej stabilizację.</w:t>
      </w:r>
    </w:p>
    <w:p w:rsidR="00FF727A" w:rsidRPr="0083466F" w:rsidRDefault="00FF727A" w:rsidP="00FF727A">
      <w:pPr>
        <w:shd w:val="clear" w:color="auto" w:fill="FFFFFF"/>
        <w:spacing w:line="240" w:lineRule="auto"/>
        <w:jc w:val="both"/>
        <w:rPr>
          <w:rFonts w:ascii="Segoe UI" w:hAnsi="Segoe UI" w:cs="Segoe UI"/>
          <w:color w:val="212121"/>
          <w:kern w:val="0"/>
          <w:sz w:val="23"/>
          <w:szCs w:val="23"/>
          <w:lang w:eastAsia="en-US"/>
        </w:rPr>
      </w:pPr>
    </w:p>
    <w:p w:rsidR="00FF727A" w:rsidRDefault="00FF727A" w:rsidP="00FF727A">
      <w:pPr>
        <w:shd w:val="clear" w:color="auto" w:fill="FFFFFF"/>
        <w:spacing w:line="240" w:lineRule="auto"/>
        <w:rPr>
          <w:b/>
          <w:color w:val="212121"/>
          <w:kern w:val="0"/>
          <w:szCs w:val="21"/>
          <w:shd w:val="clear" w:color="auto" w:fill="FFFFFF"/>
        </w:rPr>
      </w:pPr>
      <w:proofErr w:type="spellStart"/>
      <w:r>
        <w:rPr>
          <w:b/>
          <w:color w:val="212121"/>
          <w:szCs w:val="21"/>
          <w:shd w:val="clear" w:color="auto" w:fill="FFFFFF"/>
        </w:rPr>
        <w:t>Copa</w:t>
      </w:r>
      <w:proofErr w:type="spellEnd"/>
      <w:r>
        <w:rPr>
          <w:b/>
          <w:color w:val="212121"/>
          <w:szCs w:val="21"/>
          <w:shd w:val="clear" w:color="auto" w:fill="FFFFFF"/>
        </w:rPr>
        <w:t xml:space="preserve"> i </w:t>
      </w:r>
      <w:proofErr w:type="spellStart"/>
      <w:r>
        <w:rPr>
          <w:b/>
          <w:color w:val="212121"/>
          <w:szCs w:val="21"/>
          <w:shd w:val="clear" w:color="auto" w:fill="FFFFFF"/>
        </w:rPr>
        <w:t>Cogeca</w:t>
      </w:r>
      <w:proofErr w:type="spellEnd"/>
      <w:r>
        <w:rPr>
          <w:b/>
          <w:color w:val="212121"/>
          <w:szCs w:val="21"/>
          <w:shd w:val="clear" w:color="auto" w:fill="FFFFFF"/>
        </w:rPr>
        <w:t xml:space="preserve"> z zadowoleniem przyjmują pozytywny wynik dzisiejszego głosowania w Parlamencie Europejskim w sprawie sprawozdania posłanki do PE </w:t>
      </w:r>
      <w:proofErr w:type="spellStart"/>
      <w:r>
        <w:rPr>
          <w:b/>
          <w:color w:val="212121"/>
          <w:szCs w:val="21"/>
          <w:shd w:val="clear" w:color="auto" w:fill="FFFFFF"/>
        </w:rPr>
        <w:t>Katainen</w:t>
      </w:r>
      <w:proofErr w:type="spellEnd"/>
      <w:r>
        <w:rPr>
          <w:b/>
          <w:color w:val="212121"/>
          <w:szCs w:val="21"/>
          <w:shd w:val="clear" w:color="auto" w:fill="FFFFFF"/>
        </w:rPr>
        <w:t xml:space="preserve"> na temat rozporządzenia przejściowego. </w:t>
      </w:r>
      <w:r>
        <w:rPr>
          <w:b/>
          <w:bCs/>
          <w:color w:val="212121"/>
          <w:szCs w:val="21"/>
          <w:shd w:val="clear" w:color="auto" w:fill="FFFFFF"/>
        </w:rPr>
        <w:t>Unijni rolnicy i spółdzielnie rolnicze pochwalają zrównoważone podejście w stosunku do poprawek kompromisowych oraz długości okresu przejściowego.</w:t>
      </w:r>
      <w:r>
        <w:rPr>
          <w:b/>
          <w:color w:val="212121"/>
          <w:szCs w:val="21"/>
          <w:shd w:val="clear" w:color="auto" w:fill="FFFFFF"/>
        </w:rPr>
        <w:t xml:space="preserve"> W obliczu powszechnie panującej niepewności okres przejściowy powinien stanowić gwarancję sprawnej ewolucji reguł oraz wysokiego stopnia pewność dla rolników i ich spółdzielni. </w:t>
      </w:r>
    </w:p>
    <w:p w:rsidR="00FF727A" w:rsidRPr="0083466F" w:rsidRDefault="00FF727A" w:rsidP="00FF727A">
      <w:pPr>
        <w:shd w:val="clear" w:color="auto" w:fill="FFFFFF"/>
        <w:spacing w:line="240" w:lineRule="auto"/>
        <w:jc w:val="both"/>
        <w:rPr>
          <w:b/>
          <w:color w:val="212121"/>
          <w:kern w:val="0"/>
          <w:szCs w:val="21"/>
          <w:shd w:val="clear" w:color="auto" w:fill="FFFFFF"/>
          <w:lang w:eastAsia="en-US"/>
        </w:rPr>
      </w:pPr>
    </w:p>
    <w:p w:rsidR="00FF727A" w:rsidRDefault="00FF727A" w:rsidP="00FF727A">
      <w:pPr>
        <w:shd w:val="clear" w:color="auto" w:fill="FFFFFF"/>
        <w:spacing w:line="240" w:lineRule="auto"/>
        <w:jc w:val="both"/>
        <w:rPr>
          <w:color w:val="212121"/>
          <w:kern w:val="0"/>
          <w:szCs w:val="21"/>
          <w:shd w:val="clear" w:color="auto" w:fill="FFFFFF"/>
        </w:rPr>
      </w:pPr>
      <w:r>
        <w:rPr>
          <w:color w:val="212121"/>
          <w:szCs w:val="21"/>
          <w:shd w:val="clear" w:color="auto" w:fill="FFFFFF"/>
        </w:rPr>
        <w:t xml:space="preserve">Ostateczną treść rozporządzenia przejściowego trzeba będzie zatwierdzić wkrótce, bo coraz wyraźniej widać, że reformy WPR nie uda się przyjąć w październiku bieżącego roku. W tym kontekście </w:t>
      </w:r>
      <w:proofErr w:type="spellStart"/>
      <w:r>
        <w:rPr>
          <w:color w:val="212121"/>
          <w:szCs w:val="21"/>
          <w:shd w:val="clear" w:color="auto" w:fill="FFFFFF"/>
        </w:rPr>
        <w:t>Copa</w:t>
      </w:r>
      <w:proofErr w:type="spellEnd"/>
      <w:r>
        <w:rPr>
          <w:color w:val="212121"/>
          <w:szCs w:val="21"/>
          <w:shd w:val="clear" w:color="auto" w:fill="FFFFFF"/>
        </w:rPr>
        <w:t xml:space="preserve"> i </w:t>
      </w:r>
      <w:proofErr w:type="spellStart"/>
      <w:r>
        <w:rPr>
          <w:color w:val="212121"/>
          <w:szCs w:val="21"/>
          <w:shd w:val="clear" w:color="auto" w:fill="FFFFFF"/>
        </w:rPr>
        <w:t>Cogeca</w:t>
      </w:r>
      <w:proofErr w:type="spellEnd"/>
      <w:r>
        <w:rPr>
          <w:color w:val="212121"/>
          <w:szCs w:val="21"/>
          <w:shd w:val="clear" w:color="auto" w:fill="FFFFFF"/>
        </w:rPr>
        <w:t xml:space="preserve"> również z zadowoleniem przyjęły ruch Parlamentu Europejskiego, by już nie zwlekać i zacząć rozmowy trójstronne od razu. Jesteśmy wdzięczni posłom do PE za to, że postrzegają temat jako kwestię kluczową i biorą na siebie odpowiedzialność za opracowanie ostatecznego rozporządzenia jak najszybciej. </w:t>
      </w:r>
      <w:proofErr w:type="spellStart"/>
      <w:r>
        <w:rPr>
          <w:color w:val="212121"/>
          <w:szCs w:val="21"/>
          <w:shd w:val="clear" w:color="auto" w:fill="FFFFFF"/>
        </w:rPr>
        <w:t>Copa</w:t>
      </w:r>
      <w:proofErr w:type="spellEnd"/>
      <w:r>
        <w:rPr>
          <w:color w:val="212121"/>
          <w:szCs w:val="21"/>
          <w:shd w:val="clear" w:color="auto" w:fill="FFFFFF"/>
        </w:rPr>
        <w:t xml:space="preserve"> i </w:t>
      </w:r>
      <w:proofErr w:type="spellStart"/>
      <w:r>
        <w:rPr>
          <w:color w:val="212121"/>
          <w:szCs w:val="21"/>
          <w:shd w:val="clear" w:color="auto" w:fill="FFFFFF"/>
        </w:rPr>
        <w:t>Cogeca</w:t>
      </w:r>
      <w:proofErr w:type="spellEnd"/>
      <w:r>
        <w:rPr>
          <w:color w:val="212121"/>
          <w:szCs w:val="21"/>
          <w:shd w:val="clear" w:color="auto" w:fill="FFFFFF"/>
        </w:rPr>
        <w:t xml:space="preserve"> nawołują również unijnych </w:t>
      </w:r>
      <w:proofErr w:type="spellStart"/>
      <w:r>
        <w:rPr>
          <w:color w:val="212121"/>
          <w:szCs w:val="21"/>
          <w:shd w:val="clear" w:color="auto" w:fill="FFFFFF"/>
        </w:rPr>
        <w:t>współprawodawców</w:t>
      </w:r>
      <w:proofErr w:type="spellEnd"/>
      <w:r>
        <w:rPr>
          <w:color w:val="212121"/>
          <w:szCs w:val="21"/>
          <w:shd w:val="clear" w:color="auto" w:fill="FFFFFF"/>
        </w:rPr>
        <w:t xml:space="preserve"> do pójścia za ich przykładem. </w:t>
      </w:r>
      <w:r>
        <w:t xml:space="preserve">Europejscy rolnicy i spółdzielnie rolnicze dalej apelują zatem o solidny i adekwatny budżet WPR. Chodzi o budżet, który będzie współmierny do wydatków w ramach WPR w obecnych WRF. </w:t>
      </w:r>
      <w:r>
        <w:rPr>
          <w:color w:val="212121"/>
          <w:szCs w:val="21"/>
          <w:shd w:val="clear" w:color="auto" w:fill="FFFFFF"/>
        </w:rPr>
        <w:t>Jest to konieczne nie tylko podczas okresu przejściowego, ale w całym okresie obowiązywania kolejnych WRF (2021-2027).</w:t>
      </w:r>
    </w:p>
    <w:p w:rsidR="00FF727A" w:rsidRPr="0083466F" w:rsidRDefault="00FF727A" w:rsidP="00FF727A">
      <w:pPr>
        <w:shd w:val="clear" w:color="auto" w:fill="FFFFFF"/>
        <w:spacing w:line="240" w:lineRule="auto"/>
        <w:jc w:val="both"/>
        <w:rPr>
          <w:rFonts w:ascii="Segoe UI" w:hAnsi="Segoe UI" w:cs="Segoe UI"/>
          <w:color w:val="212121"/>
          <w:kern w:val="0"/>
          <w:sz w:val="23"/>
          <w:szCs w:val="23"/>
          <w:lang w:eastAsia="en-US"/>
        </w:rPr>
      </w:pPr>
    </w:p>
    <w:p w:rsidR="00FF727A" w:rsidRDefault="00FF727A" w:rsidP="00FF727A">
      <w:pPr>
        <w:shd w:val="clear" w:color="auto" w:fill="FFFFFF"/>
        <w:spacing w:line="240" w:lineRule="auto"/>
        <w:jc w:val="both"/>
        <w:rPr>
          <w:color w:val="212121"/>
          <w:kern w:val="0"/>
          <w:szCs w:val="21"/>
          <w:shd w:val="clear" w:color="auto" w:fill="FFFFFF"/>
        </w:rPr>
      </w:pPr>
      <w:r>
        <w:rPr>
          <w:color w:val="212121"/>
        </w:rPr>
        <w:t xml:space="preserve">Sekretarz generalny </w:t>
      </w:r>
      <w:proofErr w:type="spellStart"/>
      <w:r>
        <w:rPr>
          <w:color w:val="212121"/>
        </w:rPr>
        <w:t>Copa</w:t>
      </w:r>
      <w:proofErr w:type="spellEnd"/>
      <w:r>
        <w:rPr>
          <w:color w:val="212121"/>
        </w:rPr>
        <w:t xml:space="preserve"> i </w:t>
      </w:r>
      <w:proofErr w:type="spellStart"/>
      <w:r>
        <w:rPr>
          <w:color w:val="212121"/>
        </w:rPr>
        <w:t>Cogeca</w:t>
      </w:r>
      <w:proofErr w:type="spellEnd"/>
      <w:r>
        <w:rPr>
          <w:color w:val="212121"/>
        </w:rPr>
        <w:t xml:space="preserve"> powiedział w tej kwestii, że </w:t>
      </w:r>
      <w:r>
        <w:rPr>
          <w:i/>
          <w:iCs/>
          <w:color w:val="212121"/>
          <w:szCs w:val="21"/>
          <w:shd w:val="clear" w:color="auto" w:fill="FFFFFF"/>
        </w:rPr>
        <w:t>musimy trzymać się zasady „obecne zasady, nowe pieniądze”.</w:t>
      </w:r>
      <w:r>
        <w:rPr>
          <w:i/>
          <w:color w:val="212121"/>
          <w:szCs w:val="21"/>
          <w:shd w:val="clear" w:color="auto" w:fill="FFFFFF"/>
        </w:rPr>
        <w:t xml:space="preserve"> W okresie przejściowym powinniśmy jedynie dalej działać przy środkach z obecnej WPR i zostawić nowe reguły na reformę WPR. Dlatego koniecznie trzeba zapewnić, że nowy i stary system nie będą w znaczący sposób się pokrywać oraz zagwarantować sprawne przejście na nowy model dostaw. Powinniśmy zapewnić również wystarczającą ilość czasu dla państw członkowskich na przygotowanie planów strategicznych, a także na zatwierdzenie ich przez Komisję, by mogły one zostać sprawnie i terminowo wdrożone na szczeblu krajowym. W związku z tym popieramy okres przejściowy nie dłuższy niż dwa lata.</w:t>
      </w:r>
    </w:p>
    <w:p w:rsidR="00FF727A" w:rsidRPr="0083466F" w:rsidRDefault="00FF727A" w:rsidP="00FF727A">
      <w:pPr>
        <w:spacing w:after="200"/>
      </w:pPr>
    </w:p>
    <w:p w:rsidR="00FF727A" w:rsidRPr="005B19C7" w:rsidRDefault="00FF727A" w:rsidP="00FF727A">
      <w:pPr>
        <w:autoSpaceDE w:val="0"/>
        <w:spacing w:after="160" w:line="259" w:lineRule="atLeast"/>
        <w:jc w:val="both"/>
        <w:rPr>
          <w:color w:val="212121"/>
          <w:kern w:val="0"/>
          <w:szCs w:val="21"/>
          <w:shd w:val="clear" w:color="auto" w:fill="FFFFFF"/>
        </w:rPr>
      </w:pPr>
      <w:r>
        <w:rPr>
          <w:color w:val="212121"/>
          <w:szCs w:val="21"/>
          <w:shd w:val="clear" w:color="auto" w:fill="FFFFFF"/>
        </w:rPr>
        <w:t xml:space="preserve">W atmosferze niepewności spowodowanej pandemią </w:t>
      </w:r>
      <w:proofErr w:type="spellStart"/>
      <w:r>
        <w:rPr>
          <w:color w:val="212121"/>
          <w:szCs w:val="21"/>
          <w:shd w:val="clear" w:color="auto" w:fill="FFFFFF"/>
        </w:rPr>
        <w:t>koronawirusa</w:t>
      </w:r>
      <w:proofErr w:type="spellEnd"/>
      <w:r>
        <w:rPr>
          <w:color w:val="212121"/>
          <w:szCs w:val="21"/>
          <w:shd w:val="clear" w:color="auto" w:fill="FFFFFF"/>
        </w:rPr>
        <w:t xml:space="preserve"> wyraźniej widać, że jeżeli rolnicy mają dalej zapewniać bezpieczeństwo żywnościowe Unii Europejskiej, potrzebują oni adekwatnego wsparcia. Ostateczny kształt rozporządzenia przejściowego, pod warunkiem odpowiedniego finansowania, dostarczy pod tym względem solidnego fundamentu. </w:t>
      </w:r>
    </w:p>
    <w:tbl>
      <w:tblPr>
        <w:tblpPr w:leftFromText="142" w:rightFromText="142" w:vertAnchor="text" w:horzAnchor="margin" w:tblpX="1" w:tblpY="1"/>
        <w:tblOverlap w:val="never"/>
        <w:tblW w:w="9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3"/>
        <w:gridCol w:w="4822"/>
      </w:tblGrid>
      <w:tr w:rsidR="00FF727A" w:rsidRPr="005213E3" w:rsidTr="00305893">
        <w:trPr>
          <w:cantSplit/>
          <w:trHeight w:val="137"/>
        </w:trPr>
        <w:tc>
          <w:tcPr>
            <w:tcW w:w="9645" w:type="dxa"/>
            <w:gridSpan w:val="2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bottom w:w="142" w:type="dxa"/>
            </w:tcMar>
            <w:vAlign w:val="bottom"/>
          </w:tcPr>
          <w:p w:rsidR="00FF727A" w:rsidRPr="004F377E" w:rsidRDefault="00FF727A" w:rsidP="00305893">
            <w:pPr>
              <w:pStyle w:val="Disclaimer"/>
              <w:framePr w:hSpace="0" w:wrap="auto" w:vAnchor="margin" w:hAnchor="text" w:xAlign="left" w:yAlign="inline"/>
              <w:suppressOverlap w:val="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Dalszych informacji udzielają:</w:t>
            </w:r>
          </w:p>
        </w:tc>
      </w:tr>
      <w:tr w:rsidR="00FF727A" w:rsidRPr="005B19C7" w:rsidTr="00305893">
        <w:tc>
          <w:tcPr>
            <w:tcW w:w="4823" w:type="dxa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bottom w:w="312" w:type="dxa"/>
            </w:tcMar>
            <w:vAlign w:val="bottom"/>
          </w:tcPr>
          <w:p w:rsidR="00FF727A" w:rsidRPr="008C72DE" w:rsidRDefault="00FF727A" w:rsidP="00305893">
            <w:pPr>
              <w:rPr>
                <w:color w:val="000000"/>
              </w:rPr>
            </w:pPr>
            <w:r>
              <w:rPr>
                <w:b/>
              </w:rPr>
              <w:t xml:space="preserve">Paulo </w:t>
            </w:r>
            <w:proofErr w:type="spellStart"/>
            <w:r>
              <w:rPr>
                <w:b/>
              </w:rPr>
              <w:t>Gouveia</w:t>
            </w:r>
            <w:proofErr w:type="spellEnd"/>
            <w:r>
              <w:fldChar w:fldCharType="begin"/>
            </w:r>
            <w:r>
              <w:instrText xml:space="preserve"> HYPERLINK "mailto:paulo.gouveia@copa-cogeca.eu" </w:instrText>
            </w:r>
            <w:r>
              <w:fldChar w:fldCharType="separate"/>
            </w:r>
            <w:bookmarkStart w:id="0" w:name="Text8"/>
            <w:r>
              <w:rPr>
                <w:rStyle w:val="Hipercze"/>
              </w:rPr>
              <w:t xml:space="preserve"> </w:t>
            </w:r>
            <w:r>
              <w:rPr>
                <w:rStyle w:val="Hipercze"/>
              </w:rPr>
              <w:br/>
            </w:r>
            <w:bookmarkEnd w:id="0"/>
            <w:r>
              <w:rPr>
                <w:rStyle w:val="Hipercze"/>
              </w:rPr>
              <w:t xml:space="preserve">Główny doradca ds. polityk </w:t>
            </w:r>
            <w:r w:rsidRPr="004C7BC1">
              <w:rPr>
                <w:rStyle w:val="Hipercze"/>
              </w:rPr>
              <w:fldChar w:fldCharType="end"/>
            </w:r>
            <w:r>
              <w:br/>
              <w:t>paulo.gouveia@copa-cogeca.eu</w:t>
            </w:r>
          </w:p>
        </w:tc>
        <w:tc>
          <w:tcPr>
            <w:tcW w:w="4822" w:type="dxa"/>
            <w:tcBorders>
              <w:bottom w:val="single" w:sz="2" w:space="0" w:color="auto"/>
            </w:tcBorders>
            <w:shd w:val="clear" w:color="auto" w:fill="auto"/>
            <w:tcMar>
              <w:top w:w="0" w:type="dxa"/>
            </w:tcMar>
            <w:vAlign w:val="bottom"/>
          </w:tcPr>
          <w:p w:rsidR="00FF727A" w:rsidRPr="006D5A0C" w:rsidRDefault="00FF727A" w:rsidP="00305893">
            <w:pPr>
              <w:pStyle w:val="Disclaimer"/>
              <w:framePr w:hSpace="0" w:wrap="auto" w:vAnchor="margin" w:hAnchor="text" w:xAlign="left" w:yAlign="inline"/>
              <w:suppressOverlap w:val="0"/>
              <w:rPr>
                <w:b/>
                <w:color w:val="auto"/>
                <w:sz w:val="21"/>
              </w:rPr>
            </w:pPr>
            <w:proofErr w:type="spellStart"/>
            <w:r>
              <w:rPr>
                <w:b/>
                <w:color w:val="auto"/>
                <w:sz w:val="21"/>
              </w:rPr>
              <w:t>Ksenija</w:t>
            </w:r>
            <w:proofErr w:type="spellEnd"/>
            <w:r>
              <w:rPr>
                <w:b/>
                <w:color w:val="auto"/>
                <w:sz w:val="21"/>
              </w:rPr>
              <w:t xml:space="preserve"> </w:t>
            </w:r>
            <w:proofErr w:type="spellStart"/>
            <w:r>
              <w:rPr>
                <w:b/>
                <w:color w:val="auto"/>
                <w:sz w:val="21"/>
              </w:rPr>
              <w:t>Simovic</w:t>
            </w:r>
            <w:proofErr w:type="spellEnd"/>
          </w:p>
          <w:p w:rsidR="00FF727A" w:rsidRPr="009E0E62" w:rsidRDefault="00FF727A" w:rsidP="00305893">
            <w:pPr>
              <w:pStyle w:val="Disclaimer"/>
              <w:framePr w:hSpace="0" w:wrap="auto" w:vAnchor="margin" w:hAnchor="text" w:xAlign="left" w:yAlign="inline"/>
              <w:suppressOverlap w:val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Specjalistka ds. komunikacji</w:t>
            </w:r>
          </w:p>
          <w:p w:rsidR="00FF727A" w:rsidRPr="009E0E62" w:rsidRDefault="00FF727A" w:rsidP="00305893">
            <w:pPr>
              <w:pStyle w:val="Disclaimer"/>
              <w:framePr w:hSpace="0" w:wrap="auto" w:vAnchor="margin" w:hAnchor="text" w:xAlign="left" w:yAlign="inline"/>
              <w:suppressOverlap w:val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Tel. kom. + 32 473 66 30 71</w:t>
            </w:r>
          </w:p>
          <w:p w:rsidR="00FF727A" w:rsidRPr="006D5A0C" w:rsidRDefault="00FF727A" w:rsidP="00305893">
            <w:pPr>
              <w:pStyle w:val="Disclaimer"/>
              <w:framePr w:hSpace="0" w:wrap="auto" w:vAnchor="margin" w:hAnchor="text" w:xAlign="left" w:yAlign="inline"/>
              <w:suppressOverlap w:val="0"/>
              <w:rPr>
                <w:color w:val="auto"/>
                <w:sz w:val="21"/>
              </w:rPr>
            </w:pPr>
            <w:hyperlink r:id="rId4" w:history="1">
              <w:r>
                <w:rPr>
                  <w:rStyle w:val="Hipercze"/>
                  <w:sz w:val="21"/>
                  <w:szCs w:val="21"/>
                </w:rPr>
                <w:t>ksenija.simovic@copa-cogeca.eu</w:t>
              </w:r>
            </w:hyperlink>
            <w:r>
              <w:rPr>
                <w:color w:val="auto"/>
                <w:sz w:val="21"/>
                <w:szCs w:val="21"/>
              </w:rPr>
              <w:t xml:space="preserve"> </w:t>
            </w:r>
          </w:p>
        </w:tc>
      </w:tr>
    </w:tbl>
    <w:p w:rsidR="00D51E50" w:rsidRDefault="00D51E50"/>
    <w:sectPr w:rsidR="00D51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7A"/>
    <w:rsid w:val="00D51E50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8ECCF-2D61-403B-954F-34060F43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27A"/>
    <w:pPr>
      <w:spacing w:after="0" w:line="260" w:lineRule="atLeast"/>
    </w:pPr>
    <w:rPr>
      <w:rFonts w:ascii="Georgia" w:eastAsia="Times New Roman" w:hAnsi="Georgia" w:cs="Times New Roman"/>
      <w:kern w:val="4"/>
      <w:sz w:val="21"/>
      <w:szCs w:val="24"/>
      <w:lang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isclaimer">
    <w:name w:val="Disclaimer"/>
    <w:basedOn w:val="Normalny"/>
    <w:rsid w:val="00FF727A"/>
    <w:pPr>
      <w:framePr w:hSpace="142" w:wrap="around" w:vAnchor="page" w:hAnchor="margin" w:xAlign="right" w:y="11341"/>
      <w:spacing w:line="180" w:lineRule="atLeast"/>
      <w:suppressOverlap/>
    </w:pPr>
    <w:rPr>
      <w:color w:val="808080"/>
      <w:sz w:val="14"/>
      <w:szCs w:val="14"/>
    </w:rPr>
  </w:style>
  <w:style w:type="character" w:styleId="Hipercze">
    <w:name w:val="Hyperlink"/>
    <w:rsid w:val="00FF72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enija.simovic@copa-cogec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2020-05-02T09:15:00Z</dcterms:created>
  <dcterms:modified xsi:type="dcterms:W3CDTF">2020-05-02T09:16:00Z</dcterms:modified>
</cp:coreProperties>
</file>