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8E6" w:rsidRDefault="002B58E6" w:rsidP="002B58E6">
      <w:pPr>
        <w:tabs>
          <w:tab w:val="left" w:pos="5954"/>
        </w:tabs>
        <w:spacing w:line="240" w:lineRule="auto"/>
        <w:rPr>
          <w:lang w:val="de-DE"/>
        </w:rPr>
      </w:pPr>
      <w:r>
        <w:fldChar w:fldCharType="begin"/>
      </w:r>
      <w:r>
        <w:rPr>
          <w:lang w:val="de-DE"/>
        </w:rPr>
        <w:instrText xml:space="preserve"> DOCPROPERTY  PWThreadMemo  \* MERGEFORMAT </w:instrText>
      </w:r>
      <w:r>
        <w:fldChar w:fldCharType="separate"/>
      </w:r>
      <w:r>
        <w:rPr>
          <w:lang w:val="de-DE"/>
        </w:rPr>
        <w:t>CC(20)1736:1</w:t>
      </w:r>
      <w:r>
        <w:rPr>
          <w:szCs w:val="21"/>
        </w:rPr>
        <w:fldChar w:fldCharType="end"/>
      </w:r>
      <w:r>
        <w:rPr>
          <w:lang w:val="de-DE"/>
        </w:rPr>
        <w:t xml:space="preserve"> – DA/</w:t>
      </w:r>
      <w:proofErr w:type="spellStart"/>
      <w:r>
        <w:rPr>
          <w:lang w:val="de-DE"/>
        </w:rPr>
        <w:t>jk</w:t>
      </w:r>
      <w:proofErr w:type="spellEnd"/>
      <w:r>
        <w:rPr>
          <w:lang w:val="de-DE"/>
        </w:rPr>
        <w:tab/>
      </w:r>
      <w:proofErr w:type="spellStart"/>
      <w:r>
        <w:rPr>
          <w:lang w:val="de-DE"/>
        </w:rPr>
        <w:t>Sz</w:t>
      </w:r>
      <w:proofErr w:type="spellEnd"/>
      <w:r>
        <w:rPr>
          <w:lang w:val="de-DE"/>
        </w:rPr>
        <w:t xml:space="preserve">. P. Sabine Weyand </w:t>
      </w:r>
    </w:p>
    <w:p w:rsidR="002B58E6" w:rsidRDefault="002B58E6" w:rsidP="002B58E6">
      <w:pPr>
        <w:tabs>
          <w:tab w:val="left" w:pos="5954"/>
        </w:tabs>
        <w:spacing w:line="240" w:lineRule="auto"/>
        <w:ind w:left="5954"/>
      </w:pPr>
      <w:r>
        <w:t>Dyrekcja Generalna ds. Handlu</w:t>
      </w:r>
    </w:p>
    <w:p w:rsidR="002B58E6" w:rsidRDefault="002B58E6" w:rsidP="002B58E6">
      <w:pPr>
        <w:tabs>
          <w:tab w:val="left" w:pos="5954"/>
        </w:tabs>
        <w:spacing w:line="240" w:lineRule="auto"/>
        <w:ind w:left="5954"/>
      </w:pPr>
      <w:r>
        <w:t>Komisja Europejska</w:t>
      </w:r>
    </w:p>
    <w:p w:rsidR="002B58E6" w:rsidRDefault="002B58E6" w:rsidP="002B58E6">
      <w:pPr>
        <w:tabs>
          <w:tab w:val="left" w:pos="5954"/>
        </w:tabs>
        <w:spacing w:line="240" w:lineRule="auto"/>
        <w:ind w:left="5954"/>
        <w:rPr>
          <w:lang w:val="fr-BE"/>
        </w:rPr>
      </w:pPr>
      <w:r>
        <w:rPr>
          <w:lang w:val="fr-BE"/>
        </w:rPr>
        <w:t>Rue de la Loi 170</w:t>
      </w:r>
    </w:p>
    <w:p w:rsidR="002B58E6" w:rsidRDefault="002B58E6" w:rsidP="002B58E6">
      <w:pPr>
        <w:tabs>
          <w:tab w:val="left" w:pos="5954"/>
        </w:tabs>
        <w:spacing w:line="240" w:lineRule="auto"/>
        <w:ind w:left="5954"/>
        <w:rPr>
          <w:lang w:val="fr-BE"/>
        </w:rPr>
      </w:pPr>
      <w:r>
        <w:rPr>
          <w:lang w:val="fr-BE"/>
        </w:rPr>
        <w:t>1040 Bruksela</w:t>
      </w:r>
    </w:p>
    <w:p w:rsidR="002B58E6" w:rsidRDefault="002B58E6" w:rsidP="002B58E6">
      <w:pPr>
        <w:tabs>
          <w:tab w:val="left" w:pos="5954"/>
        </w:tabs>
        <w:spacing w:line="240" w:lineRule="auto"/>
        <w:ind w:left="5954"/>
        <w:rPr>
          <w:lang w:val="fr-BE"/>
        </w:rPr>
      </w:pPr>
      <w:r>
        <w:rPr>
          <w:lang w:val="fr-BE"/>
        </w:rPr>
        <w:t>Belgia</w:t>
      </w:r>
    </w:p>
    <w:p w:rsidR="002B58E6" w:rsidRDefault="002B58E6" w:rsidP="002B58E6">
      <w:pPr>
        <w:spacing w:line="240" w:lineRule="auto"/>
        <w:rPr>
          <w:lang w:val="fr-BE"/>
        </w:rPr>
      </w:pPr>
    </w:p>
    <w:p w:rsidR="002B58E6" w:rsidRDefault="002B58E6" w:rsidP="002B58E6">
      <w:pPr>
        <w:spacing w:line="240" w:lineRule="auto"/>
        <w:rPr>
          <w:lang w:val="fr-BE"/>
        </w:rPr>
      </w:pPr>
    </w:p>
    <w:p w:rsidR="002B58E6" w:rsidRDefault="002B58E6" w:rsidP="002B58E6">
      <w:pPr>
        <w:spacing w:line="240" w:lineRule="auto"/>
        <w:ind w:left="5954"/>
      </w:pPr>
      <w:r>
        <w:t>Bruksela, __ marca 2020 r.</w:t>
      </w:r>
    </w:p>
    <w:p w:rsidR="002B58E6" w:rsidRDefault="002B58E6" w:rsidP="002B58E6">
      <w:pPr>
        <w:spacing w:line="240" w:lineRule="auto"/>
      </w:pPr>
    </w:p>
    <w:p w:rsidR="002B58E6" w:rsidRDefault="002B58E6" w:rsidP="002B58E6">
      <w:pPr>
        <w:spacing w:line="240" w:lineRule="auto"/>
      </w:pPr>
    </w:p>
    <w:p w:rsidR="002B58E6" w:rsidRDefault="002B58E6" w:rsidP="002B58E6">
      <w:pPr>
        <w:spacing w:before="120" w:line="240" w:lineRule="auto"/>
        <w:rPr>
          <w:b/>
        </w:rPr>
      </w:pPr>
      <w:r>
        <w:rPr>
          <w:b/>
        </w:rPr>
        <w:t>Dot.: Przegląd pogłębionej i kompleksowej strefy wolnego handlu między Unią Europejską a Ukrainą.</w:t>
      </w:r>
    </w:p>
    <w:p w:rsidR="002B58E6" w:rsidRDefault="002B58E6" w:rsidP="002B58E6">
      <w:pPr>
        <w:spacing w:before="120" w:line="240" w:lineRule="auto"/>
      </w:pPr>
    </w:p>
    <w:p w:rsidR="002B58E6" w:rsidRDefault="002B58E6" w:rsidP="002B58E6">
      <w:pPr>
        <w:spacing w:before="120" w:line="240" w:lineRule="auto"/>
      </w:pPr>
      <w:r>
        <w:t>Szanowna Pani Dyrektor Generalna,</w:t>
      </w:r>
    </w:p>
    <w:p w:rsidR="002B58E6" w:rsidRDefault="002B58E6" w:rsidP="002B58E6">
      <w:pPr>
        <w:spacing w:before="120" w:line="240" w:lineRule="auto"/>
      </w:pPr>
    </w:p>
    <w:p w:rsidR="002B58E6" w:rsidRDefault="002B58E6" w:rsidP="002B58E6">
      <w:pPr>
        <w:spacing w:before="120" w:line="240" w:lineRule="auto"/>
      </w:pPr>
      <w:r>
        <w:t xml:space="preserve">otrzymaliśmy informację, że Ukraina, powołując się na kilka oficjalnych deklaracji, ubiega się o przyznanie ukraińskim produktom większego dostępu do rynku unijnego. W kontekście prac przygotowawczych Komisji nad przeglądem pogłębionej i kompleksowej strefy wolnego handlu (DCFTA) między Unią Europejską a Ukrainą </w:t>
      </w:r>
      <w:proofErr w:type="spellStart"/>
      <w:r>
        <w:t>Copa</w:t>
      </w:r>
      <w:proofErr w:type="spellEnd"/>
      <w:r>
        <w:t xml:space="preserve"> i </w:t>
      </w:r>
      <w:proofErr w:type="spellStart"/>
      <w:r>
        <w:t>Cogeca</w:t>
      </w:r>
      <w:proofErr w:type="spellEnd"/>
      <w:r>
        <w:t xml:space="preserve"> wyrażają sprzeciw udzielaniu jakichkolwiek dalszych koncesji na eksportowane przez Ukrainę produkty oraz wznowieniu autonomicznych środków handlowych zwiększających koncesje na produkty rolne.</w:t>
      </w:r>
    </w:p>
    <w:p w:rsidR="002B58E6" w:rsidRDefault="002B58E6" w:rsidP="002B58E6">
      <w:pPr>
        <w:spacing w:before="120" w:line="240" w:lineRule="auto"/>
      </w:pPr>
      <w:r>
        <w:t xml:space="preserve">Pragniemy przypomnieć, że społeczność rolnicza w całej UE ponosi konsekwencje kryzysu dyplomatycznego dotyczącego Ukrainy i Rosji. Koszty bezpośrednie już teraz sięgają ponad 10 mld euro. Sytuację pogarszają dodatkowo niebezpośrednie skutki związane ze znacznym spadkiem cen kilku towarów rolnych. Ponadto unijni producenci nie mają już dostępu do środków kompensacyjnych wdrożonych po wprowadzeniu rosyjskiego embargo. </w:t>
      </w:r>
    </w:p>
    <w:p w:rsidR="002B58E6" w:rsidRDefault="002B58E6" w:rsidP="002B58E6">
      <w:pPr>
        <w:spacing w:before="120" w:line="240" w:lineRule="auto"/>
      </w:pPr>
      <w:r>
        <w:t>Program wsparcia dla Ukrainy zakładał także wcześniejsze wprowadzenie pogłębionej, kompleksowej strefy wolnego handlu wynegocjowanej między Unią Europejską a Ukrainą. Najnowsze dane dotyczące handlu pokazują, że ukraińskie przedsiębiorstwa wykorzystały tę możliwość w pełni. Potencjalne zwiększenie kontyngentów taryfowych wywarłoby więc bezpośredni wpływ na unijne rynki towarów rolnych. W związku z powyższym pragniemy zwrócić uwagę na następujące zagrożenia wiążące się z możliwością rozszerzenia kontyngentów taryfowych dla Ukrainy:</w:t>
      </w:r>
    </w:p>
    <w:p w:rsidR="002B58E6" w:rsidRDefault="002B58E6" w:rsidP="002B58E6">
      <w:pPr>
        <w:spacing w:before="120" w:line="240" w:lineRule="auto"/>
      </w:pPr>
    </w:p>
    <w:p w:rsidR="002B58E6" w:rsidRDefault="002B58E6" w:rsidP="002B58E6">
      <w:pPr>
        <w:numPr>
          <w:ilvl w:val="0"/>
          <w:numId w:val="1"/>
        </w:numPr>
        <w:spacing w:after="120" w:line="240" w:lineRule="auto"/>
      </w:pPr>
      <w:r>
        <w:t>w sektorze zbóż mamy do czynienia niekorzystnym otoczeniem handlowym oraz brakiem przejrzystości między podmiotami na Ukrainie. Nie da się przez to zapewnić, że to właśnie ukraiński sektor rolnictwa faktycznie korzysta na handlu ziarnami z Unią Europejską. Zwiększenie kontyngentów taryfowych na pszenicę zamiast sprawić, że oba rynki produkcji będą się wzajemnie uzupełniać, doprowadziłoby do wzrostu konkurencji na rynku unijnym.</w:t>
      </w:r>
    </w:p>
    <w:p w:rsidR="002B58E6" w:rsidRDefault="002B58E6" w:rsidP="002B58E6">
      <w:pPr>
        <w:numPr>
          <w:ilvl w:val="0"/>
          <w:numId w:val="1"/>
        </w:numPr>
        <w:spacing w:after="120" w:line="240" w:lineRule="auto"/>
      </w:pPr>
      <w:r>
        <w:t xml:space="preserve">w sektorze hodowli zwierząt gospodarskich Ukraina nie radzi sobie z postępującym kryzysem spowodowanym afrykańskim pomorem świń. Sytuacja doprowadziła do wystąpienia zakażeń wśród dzikich zwierząt na terenie państw członkowskich sąsiadujących z Ukrainą. Europejscy hodowcy ponoszą w tej chwili skutki embargo nałożonego na produkty eksportowane do wielu krajów, m. in. Rosji, Japonii, Chin i Korei Południowej. Przed dokonaniem przeglądu umowy handlowej należy koniecznie opracować krótkoterminowe rozwiązania, by zaradzić kryzysowi sanitarnemu w tym kraju. </w:t>
      </w:r>
    </w:p>
    <w:p w:rsidR="002B58E6" w:rsidRDefault="002B58E6" w:rsidP="002B58E6">
      <w:pPr>
        <w:numPr>
          <w:ilvl w:val="0"/>
          <w:numId w:val="1"/>
        </w:numPr>
        <w:spacing w:after="120" w:line="240" w:lineRule="auto"/>
      </w:pPr>
      <w:r>
        <w:t xml:space="preserve">w sektorze mięsa drobiowego i jaj normy produkcyjne, zwłaszcza te dotyczące dobrostanu zwierząt, nie odpowiadają wymogom nakładanym na unijnych producentów, którzy ostatnio musieli unowocześnić narzędzia produkcyjne. Dlatego też producenci w państwach sąsiadujących z Ukrainą boleśnie odczują zakłócenia konkurencji. Nie tak </w:t>
      </w:r>
      <w:r>
        <w:lastRenderedPageBreak/>
        <w:t xml:space="preserve">dawno przecież Komisja i władze ukraińskie uzgodniły zwiększenie obecnych kontyngentów taryfowych z 20 tys. do 70 tys. ton. </w:t>
      </w:r>
    </w:p>
    <w:p w:rsidR="002B58E6" w:rsidRDefault="002B58E6" w:rsidP="002B58E6">
      <w:pPr>
        <w:numPr>
          <w:ilvl w:val="0"/>
          <w:numId w:val="1"/>
        </w:numPr>
        <w:spacing w:after="120" w:line="240" w:lineRule="auto"/>
      </w:pPr>
      <w:r>
        <w:t xml:space="preserve">odkąd zawarto porozumienie w sprawie pogłębionej i kompleksowej strefy wolnego handlu, w ukraińskiej branży pomidorów, zwłaszcza przetworów pomidorowych, produkcję zwiększono ponad dwukrotnie (z 330 tys. ton metrycznych w 2013 r. do 735 tys. ton metrycznych w roku 2018). Bardzo wzrosła również jej zdolność wywozowa. W 2017 r. Ukraina wyeksportowała 40 096 t produktów na bazie pomidorów objętych kodem CN 2002, co oznacza trzydziestokrotny wzrost w przeciągu pięciu lat. Zmiana ta zaczęła się dokonywać w momencie zawarcia porozumienia w sprawie pogłębionej, kompleksowej strefy wolnego handlu w 2014 r. Co więcej, na wzroście w ukraińskiej branży pomidorów zyskuje praktycznie jedno przedsiębiorstwo </w:t>
      </w:r>
      <w:proofErr w:type="spellStart"/>
      <w:r>
        <w:rPr>
          <w:i/>
          <w:iCs/>
        </w:rPr>
        <w:t>Agrofusion</w:t>
      </w:r>
      <w:proofErr w:type="spellEnd"/>
      <w:r>
        <w:t>, odpowiadające za 85% produkcji. Ponadto wzrost ten umożliwiło znaczne wsparcie finansowe ze strony Unii Europejskiej oraz agencji międzynarodowych. Dzięki tym inwestycjom Ukraina potencjalnie mogłaby w przyszłości zwiększyć produkcję do dwóch milionów ton metrycznych rocznie. Stałaby się tym samym piątym największym producentem pomidorów na świecie.</w:t>
      </w:r>
    </w:p>
    <w:p w:rsidR="002B58E6" w:rsidRDefault="002B58E6" w:rsidP="002B58E6">
      <w:pPr>
        <w:numPr>
          <w:ilvl w:val="0"/>
          <w:numId w:val="1"/>
        </w:numPr>
        <w:spacing w:after="120" w:line="240" w:lineRule="auto"/>
      </w:pPr>
      <w:r>
        <w:t xml:space="preserve">z krytyczną sytuacją na rynku mierzy się również unijny sektor pszczelarstwa (skrajne wahania cen, brak płynności). W państwach członkowskich będących największymi producentami miodu w UE zanotowano tendencję spadkową w cenach, które pszczelarze otrzymują za miód sprzedawany luzem. Ponadto różnica między ceną miodu wielokwiatowego sprzedawanego luzem a średnimi kosztami produkcji sprawia, że w 12 krajach marże zysku są ujemne oraz bliskie zeru w przypadku innych krajów będących ważnymi dostawcami miodu na rynku wewnętrznym UE. Główną przyczyną tej sytuacji jest fakt, że europejski miód mierzy się z niemożliwą do udźwignięcia konkurencją ze strony sprzedawanych po skrajnie zaniżonych cenach produktów o nazwie „miód”, importowanych z krajów trzecich, a zwłaszcza z Chin i Ukrainy. </w:t>
      </w:r>
    </w:p>
    <w:p w:rsidR="002B58E6" w:rsidRDefault="002B58E6" w:rsidP="002B58E6">
      <w:pPr>
        <w:numPr>
          <w:ilvl w:val="0"/>
          <w:numId w:val="1"/>
        </w:numPr>
        <w:spacing w:after="120" w:line="240" w:lineRule="auto"/>
      </w:pPr>
      <w:r>
        <w:t xml:space="preserve">w sektorze cukru kontyngenty taryfowe zarówno na cukier jak i glukozę </w:t>
      </w:r>
      <w:r>
        <w:t xml:space="preserve"> </w:t>
      </w:r>
      <w:r>
        <w:t xml:space="preserve">są </w:t>
      </w:r>
      <w:bookmarkStart w:id="0" w:name="_GoBack"/>
      <w:bookmarkEnd w:id="0"/>
      <w:r>
        <w:t>wykorzystywane w pełni. Biorąc pod uwagę różnice w normach produkcji, apelujemy do Komisji, by nie udzielała już żadnych dodatkowych koncesji.</w:t>
      </w:r>
    </w:p>
    <w:p w:rsidR="002B58E6" w:rsidRDefault="002B58E6" w:rsidP="002B58E6"/>
    <w:p w:rsidR="002B58E6" w:rsidRDefault="002B58E6" w:rsidP="002B58E6">
      <w:pPr>
        <w:spacing w:before="120" w:line="240" w:lineRule="auto"/>
      </w:pPr>
      <w:r>
        <w:t>Doceniamy wysiłki Komisji Europejskiej mające na celu umocnienie stosunków gospodarczych i handlowych między Unią Europejską a Ukrainą, jednocześnie uznając, jak ważne są zasady demokratyczności i solidarności, na których opiera się to porozumienie handlowe. Niemniej jednak liberalizacja taryf celnych w ramach umowy handlowej w żadnym wypadku nie powinna prowadzić do pogorszenia warunków dla unijnych rolników i spółdzielni. Dla obszarów wiejskich są oni kluczowymi podmiotami z perspektywy środowiskowej, gospodarczej i społecznej. W znakomitej większości przypadków stanowią oni jedyne źródło zatrudnienia w regionach produkcyjnych.</w:t>
      </w:r>
    </w:p>
    <w:p w:rsidR="002B58E6" w:rsidRDefault="002B58E6" w:rsidP="002B58E6">
      <w:pPr>
        <w:spacing w:before="120" w:line="240" w:lineRule="auto"/>
      </w:pPr>
      <w:r>
        <w:t xml:space="preserve">Ukraina już teraz jest czwartym największym dostawcą produktów rolnych dla UE. Nie ma zatem potrzeby udzielania jej dodatkowych koncesji na eksport do Unii. Na zakończenie warto zauważyć, że dodatkowe koncesje dla Ukrainy będą postrzegane jako przyznanie uprzywilejowanego statusu krajowi trzeciemu, w którym koszty produkcji są niższe i gdzie nie są stosowane normy produkcyjne obowiązujące rolników w UE. Może to stworzyć dodatkową presję na równowagę rynku unijnym.   </w:t>
      </w:r>
    </w:p>
    <w:p w:rsidR="002B58E6" w:rsidRDefault="002B58E6" w:rsidP="002B58E6">
      <w:pPr>
        <w:spacing w:before="120" w:line="240" w:lineRule="auto"/>
      </w:pPr>
      <w:r>
        <w:t xml:space="preserve">Pragnę poinformować, że kopia tego pisma została wysłana również do zastępczyni dyrektora generalnego Dyrekcji Generalnej ds. Rolnictwa i Rozwoju Obszarów Wiejskich </w:t>
      </w:r>
      <w:proofErr w:type="spellStart"/>
      <w:r>
        <w:t>Maríi</w:t>
      </w:r>
      <w:proofErr w:type="spellEnd"/>
      <w:r>
        <w:t xml:space="preserve"> Angeles </w:t>
      </w:r>
      <w:proofErr w:type="spellStart"/>
      <w:r>
        <w:t>Benítez</w:t>
      </w:r>
      <w:proofErr w:type="spellEnd"/>
      <w:r>
        <w:t xml:space="preserve"> </w:t>
      </w:r>
      <w:proofErr w:type="spellStart"/>
      <w:r>
        <w:t>Salas</w:t>
      </w:r>
      <w:proofErr w:type="spellEnd"/>
      <w:r>
        <w:t>.</w:t>
      </w:r>
    </w:p>
    <w:p w:rsidR="002B58E6" w:rsidRDefault="002B58E6" w:rsidP="002B58E6">
      <w:pPr>
        <w:spacing w:before="120" w:line="240" w:lineRule="auto"/>
      </w:pPr>
      <w:r>
        <w:t>Z wyrazami szacunku,</w:t>
      </w:r>
    </w:p>
    <w:p w:rsidR="002B58E6" w:rsidRDefault="002B58E6" w:rsidP="002B58E6">
      <w:pPr>
        <w:spacing w:line="240" w:lineRule="auto"/>
      </w:pPr>
      <w:proofErr w:type="spellStart"/>
      <w:r>
        <w:t>Pekka</w:t>
      </w:r>
      <w:proofErr w:type="spellEnd"/>
      <w:r>
        <w:t xml:space="preserve"> </w:t>
      </w:r>
      <w:proofErr w:type="spellStart"/>
      <w:r>
        <w:t>Pesonen</w:t>
      </w:r>
      <w:proofErr w:type="spellEnd"/>
    </w:p>
    <w:p w:rsidR="002B58E6" w:rsidRDefault="002B58E6" w:rsidP="002B58E6">
      <w:pPr>
        <w:spacing w:line="240" w:lineRule="auto"/>
      </w:pPr>
      <w:r>
        <w:t>Sekretarz Generalny</w:t>
      </w:r>
    </w:p>
    <w:p w:rsidR="002B58E6" w:rsidRDefault="002B58E6" w:rsidP="002B58E6">
      <w:pPr>
        <w:spacing w:line="240" w:lineRule="auto"/>
      </w:pPr>
    </w:p>
    <w:p w:rsidR="002B58E6" w:rsidRDefault="002B58E6" w:rsidP="002B58E6">
      <w:pPr>
        <w:spacing w:line="240" w:lineRule="auto"/>
      </w:pPr>
      <w:r>
        <w:t xml:space="preserve">DW </w:t>
      </w:r>
      <w:r>
        <w:t xml:space="preserve"> </w:t>
      </w:r>
      <w:hyperlink r:id="rId5" w:history="1">
        <w:r w:rsidRPr="00EA6A64">
          <w:rPr>
            <w:rStyle w:val="Hipercze"/>
          </w:rPr>
          <w:t>arkadiusz-jozef.langer@ec.europa.eu</w:t>
        </w:r>
      </w:hyperlink>
      <w:r>
        <w:t xml:space="preserve"> (gabinet komisarza ds. rolnictwa)</w:t>
      </w:r>
    </w:p>
    <w:p w:rsidR="002B58E6" w:rsidRDefault="002B58E6" w:rsidP="002B58E6">
      <w:pPr>
        <w:spacing w:line="240" w:lineRule="auto"/>
      </w:pPr>
      <w:hyperlink r:id="rId6" w:history="1">
        <w:r>
          <w:rPr>
            <w:rStyle w:val="Hipercze"/>
          </w:rPr>
          <w:t>agnieszka.drzewoska@ec.europa.eu</w:t>
        </w:r>
      </w:hyperlink>
      <w:r>
        <w:t xml:space="preserve"> (gabinet komisarza ds. handlu)</w:t>
      </w:r>
    </w:p>
    <w:p w:rsidR="002B58E6" w:rsidRDefault="002B58E6" w:rsidP="002B58E6">
      <w:pPr>
        <w:spacing w:line="240" w:lineRule="auto"/>
      </w:pPr>
      <w:r>
        <w:t>John Clarke (DG AGRI)</w:t>
      </w:r>
    </w:p>
    <w:p w:rsidR="002B58E6" w:rsidRDefault="002B58E6" w:rsidP="002B58E6">
      <w:pPr>
        <w:spacing w:line="240" w:lineRule="auto"/>
      </w:pPr>
      <w:r>
        <w:t xml:space="preserve">Rupert </w:t>
      </w:r>
      <w:proofErr w:type="spellStart"/>
      <w:r>
        <w:t>Schlegelmilch</w:t>
      </w:r>
      <w:proofErr w:type="spellEnd"/>
      <w:r>
        <w:t xml:space="preserve"> (dyrektor, DG ds. Handlu)</w:t>
      </w:r>
    </w:p>
    <w:p w:rsidR="00790157" w:rsidRDefault="00790157"/>
    <w:sectPr w:rsidR="00790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C54AA"/>
    <w:multiLevelType w:val="hybridMultilevel"/>
    <w:tmpl w:val="1EB09A7C"/>
    <w:lvl w:ilvl="0" w:tplc="C67E5400">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E6"/>
    <w:rsid w:val="002B58E6"/>
    <w:rsid w:val="007901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5FF9"/>
  <w15:chartTrackingRefBased/>
  <w15:docId w15:val="{FB268777-C23B-4E89-8F29-7651E1AB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8E6"/>
    <w:pPr>
      <w:spacing w:after="0" w:line="260" w:lineRule="atLeast"/>
    </w:pPr>
    <w:rPr>
      <w:rFonts w:ascii="Georgia" w:eastAsia="Times New Roman" w:hAnsi="Georgia" w:cs="Times New Roman"/>
      <w:kern w:val="4"/>
      <w:sz w:val="21"/>
      <w:szCs w:val="24"/>
      <w:lang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B58E6"/>
    <w:rPr>
      <w:color w:val="0000FF"/>
      <w:u w:val="single"/>
    </w:rPr>
  </w:style>
  <w:style w:type="character" w:styleId="Nierozpoznanawzmianka">
    <w:name w:val="Unresolved Mention"/>
    <w:basedOn w:val="Domylnaczcionkaakapitu"/>
    <w:uiPriority w:val="99"/>
    <w:semiHidden/>
    <w:unhideWhenUsed/>
    <w:rsid w:val="002B5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99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ieszka.drzewoska@ec.europa.eu" TargetMode="External"/><Relationship Id="rId5" Type="http://schemas.openxmlformats.org/officeDocument/2006/relationships/hyperlink" Target="mailto:arkadiusz-jozef.langer@ec.europ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6018</Characters>
  <Application>Microsoft Office Word</Application>
  <DocSecurity>0</DocSecurity>
  <Lines>50</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2020-04-02T09:53:00Z</dcterms:created>
  <dcterms:modified xsi:type="dcterms:W3CDTF">2020-04-02T09:56:00Z</dcterms:modified>
</cp:coreProperties>
</file>