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1ED" w:rsidRDefault="009141ED" w:rsidP="009141ED">
      <w:pPr>
        <w:rPr>
          <w:b/>
          <w:bCs/>
          <w:sz w:val="24"/>
          <w:szCs w:val="24"/>
        </w:rPr>
      </w:pPr>
    </w:p>
    <w:p w:rsidR="009141ED" w:rsidRPr="009141ED" w:rsidRDefault="009141ED" w:rsidP="009141ED">
      <w:pPr>
        <w:rPr>
          <w:b/>
          <w:bCs/>
          <w:sz w:val="24"/>
          <w:szCs w:val="24"/>
        </w:rPr>
      </w:pPr>
      <w:r w:rsidRPr="009141ED">
        <w:rPr>
          <w:b/>
          <w:bCs/>
          <w:sz w:val="24"/>
          <w:szCs w:val="24"/>
        </w:rPr>
        <w:t xml:space="preserve">Komisja Europejska ogłasza nowy zestaw środków mających pomóc sektorowi rolno-spożywczemu w tym niespotykanym kryzysie po wybuchu </w:t>
      </w:r>
      <w:r>
        <w:rPr>
          <w:b/>
          <w:bCs/>
          <w:sz w:val="24"/>
          <w:szCs w:val="24"/>
        </w:rPr>
        <w:t xml:space="preserve">pandemii </w:t>
      </w:r>
      <w:r w:rsidRPr="009141ED">
        <w:rPr>
          <w:b/>
          <w:bCs/>
          <w:sz w:val="24"/>
          <w:szCs w:val="24"/>
        </w:rPr>
        <w:t>koronawirusa.</w:t>
      </w:r>
    </w:p>
    <w:p w:rsidR="009141ED" w:rsidRDefault="009141ED" w:rsidP="009141ED"/>
    <w:p w:rsidR="009141ED" w:rsidRDefault="009141ED" w:rsidP="009141ED">
      <w:r>
        <w:t xml:space="preserve">Zaproponowana dziś przez Komisję Europejską </w:t>
      </w:r>
      <w:r>
        <w:t>I</w:t>
      </w:r>
      <w:r>
        <w:t xml:space="preserve">nicjatywa </w:t>
      </w:r>
      <w:r>
        <w:t>I</w:t>
      </w:r>
      <w:r>
        <w:t xml:space="preserve">nwestycyjna </w:t>
      </w:r>
      <w:r>
        <w:t>w odpowiedzi</w:t>
      </w:r>
      <w:r>
        <w:t xml:space="preserve"> na koronawirus plus (CRII +) wprowadza wyjątkową elastyczność i uproszczenie w wykorzystaniu europejskich funduszy strukturalnych inwestycji (EFSI), w tym Europejskiego Funduszu Rolnego na rzecz Rozwoju Obszarów Wiejskich (EFRROW).</w:t>
      </w:r>
    </w:p>
    <w:p w:rsidR="009141ED" w:rsidRDefault="009141ED" w:rsidP="009141ED">
      <w:r>
        <w:t>W odniesieniu do EFRROW CRII + będzie wspierać rolników, obszary wiejskie i kraje UE poprzez zwiększenie elastyczności w wykorzystaniu tych funduszy, w tym:</w:t>
      </w:r>
    </w:p>
    <w:p w:rsidR="009141ED" w:rsidRDefault="009141ED" w:rsidP="009141ED">
      <w:pPr>
        <w:pStyle w:val="Akapitzlist"/>
        <w:numPr>
          <w:ilvl w:val="0"/>
          <w:numId w:val="1"/>
        </w:numPr>
      </w:pPr>
      <w:r>
        <w:t>elastyczność w korzystaniu z instrumentów finansowych: rolnicy i inni beneficjenci rozwoju obszarów wiejskich będą mogli korzystać z pożyczek lub gwarancji w wysokości do 200 000 EUR na korzystnych warunkach, takich jak bardzo niskie stopy procentowe lub korzystne harmonogramy płatności.</w:t>
      </w:r>
    </w:p>
    <w:p w:rsidR="009141ED" w:rsidRDefault="009141ED" w:rsidP="009141ED">
      <w:pPr>
        <w:pStyle w:val="Akapitzlist"/>
        <w:numPr>
          <w:ilvl w:val="0"/>
          <w:numId w:val="1"/>
        </w:numPr>
      </w:pPr>
      <w:r>
        <w:t>realokacja środków: kraje UE będą mogły korzystać z pieniędzy niewykorzystanych w ramach programów rozwoju obszarów wiejskich (PROW), zamiast odsyłać je z powrotem do budżetu UE. Pieniądze nadal będą musiały zostać wykorzystane w ramach odpowiedniego PROW.</w:t>
      </w:r>
    </w:p>
    <w:p w:rsidR="009141ED" w:rsidRDefault="009141ED" w:rsidP="009141ED">
      <w:pPr>
        <w:pStyle w:val="Akapitzlist"/>
        <w:numPr>
          <w:ilvl w:val="0"/>
          <w:numId w:val="1"/>
        </w:numPr>
      </w:pPr>
      <w:r>
        <w:t>odroczenie przedłożenia rocznych sprawozdań: termin dla krajów UE na przedłożenie tych sprawozdań z realizacji ich PROW jest przesunięty, co daje władzom krajowym więcej czasu na ich zebranie.</w:t>
      </w:r>
    </w:p>
    <w:p w:rsidR="009141ED" w:rsidRDefault="009141ED" w:rsidP="009141ED">
      <w:pPr>
        <w:pStyle w:val="Akapitzlist"/>
        <w:numPr>
          <w:ilvl w:val="0"/>
          <w:numId w:val="1"/>
        </w:numPr>
      </w:pPr>
      <w:r>
        <w:t>nie są wymagane zmiany umów o partnerstwie: kraje UE nie będą musiały zmieniać umów o partnerstwie w celu modyfikacji swoich PROW, zniesienie niektórych procedur administracyjnych.</w:t>
      </w:r>
    </w:p>
    <w:p w:rsidR="009141ED" w:rsidRDefault="009141ED" w:rsidP="009141ED">
      <w:r>
        <w:t>Oprócz środków bezpośrednio związanych z EFRROW w ramach CRII + Komisja proponuje dalszą elastyczność i uproszczenie innych instrumentów wspólnej polityki rolnej (WPR):</w:t>
      </w:r>
    </w:p>
    <w:p w:rsidR="009141ED" w:rsidRDefault="009141ED" w:rsidP="009141ED"/>
    <w:p w:rsidR="009141ED" w:rsidRDefault="009141ED" w:rsidP="009141ED">
      <w:pPr>
        <w:pStyle w:val="Akapitzlist"/>
        <w:numPr>
          <w:ilvl w:val="0"/>
          <w:numId w:val="2"/>
        </w:numPr>
      </w:pPr>
      <w:r>
        <w:t xml:space="preserve">Przedłużenie terminu składania wniosków o płatności w ramach WPR: termin zostanie przedłużony o miesiąc, </w:t>
      </w:r>
      <w:r w:rsidR="00F81BC0">
        <w:t>z</w:t>
      </w:r>
      <w:r>
        <w:t xml:space="preserve"> 15 maja </w:t>
      </w:r>
      <w:r w:rsidR="00F81BC0">
        <w:t>do</w:t>
      </w:r>
      <w:r>
        <w:t xml:space="preserve"> 15 czerwca 2020 r., </w:t>
      </w:r>
      <w:r w:rsidR="00F81BC0">
        <w:t>d</w:t>
      </w:r>
      <w:bookmarkStart w:id="0" w:name="_GoBack"/>
      <w:bookmarkEnd w:id="0"/>
      <w:r>
        <w:t>ając rolnikom więcej czasu na wypełnienie wniosku zarówno o płatności bezpośrednie, jak i płatności na rozwój obszarów wiejskich.</w:t>
      </w:r>
    </w:p>
    <w:p w:rsidR="009141ED" w:rsidRDefault="009141ED" w:rsidP="009141ED">
      <w:pPr>
        <w:pStyle w:val="Akapitzlist"/>
        <w:numPr>
          <w:ilvl w:val="0"/>
          <w:numId w:val="2"/>
        </w:numPr>
      </w:pPr>
      <w:r>
        <w:t>Wyższe zaliczki na płatności: w celu zwiększenia przepływów pieniężnych rolników Komisja zwiększy zaliczki na płatności bezpośrednie (z 50% do 70%) i płatności na rozwój obszarów wiejskich (z 75% do 85%). Rolnicy zaczną otrzymywać te zaliczki od połowy października.</w:t>
      </w:r>
    </w:p>
    <w:p w:rsidR="009141ED" w:rsidRDefault="009141ED" w:rsidP="009141ED">
      <w:pPr>
        <w:pStyle w:val="Akapitzlist"/>
        <w:numPr>
          <w:ilvl w:val="0"/>
          <w:numId w:val="2"/>
        </w:numPr>
      </w:pPr>
      <w:r>
        <w:t>Ograniczenie fizycznych kontroli na miejscu i swobody w zakresie wymogów dotyczących terminów: kraje UE muszą przeprowadzać kontrole w celu zapewnienia spełnienia warunków kwalifikowalności. Jednak w obecnych wyjątkowych okolicznościach zasadnicze znaczenie ma zminimalizowanie fizycznego kontaktu między rolnikami a inspektorami przeprowadzającymi kontrole. Środek ten pomoże zmniejszyć obciążenia administracyjne i uniknąć niepotrzebnych opóźnień.</w:t>
      </w:r>
    </w:p>
    <w:p w:rsidR="00E06B5B" w:rsidRDefault="009141ED" w:rsidP="009141ED">
      <w:r>
        <w:t>Obecnie podejmowane są ostateczne kroki prawne w celu przyjęcia tych środków.</w:t>
      </w:r>
    </w:p>
    <w:sectPr w:rsidR="00E0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479"/>
    <w:multiLevelType w:val="hybridMultilevel"/>
    <w:tmpl w:val="94D8D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15A"/>
    <w:multiLevelType w:val="hybridMultilevel"/>
    <w:tmpl w:val="7BF4B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ED"/>
    <w:rsid w:val="005A3017"/>
    <w:rsid w:val="009141ED"/>
    <w:rsid w:val="00E06B5B"/>
    <w:rsid w:val="00F51BF2"/>
    <w:rsid w:val="00F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B6D"/>
  <w15:chartTrackingRefBased/>
  <w15:docId w15:val="{A51B1C97-02C0-42CB-812F-FFD2C30C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2020-04-02T11:44:00Z</dcterms:created>
  <dcterms:modified xsi:type="dcterms:W3CDTF">2020-04-02T11:56:00Z</dcterms:modified>
</cp:coreProperties>
</file>