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8231C" w:rsidRPr="00330421" w:rsidRDefault="0061422E" w:rsidP="00266930">
      <w:pPr>
        <w:spacing w:after="120"/>
        <w:jc w:val="both"/>
      </w:pPr>
      <w:r w:rsidRPr="0061422E">
        <w:fldChar w:fldCharType="begin"/>
      </w:r>
      <w:r w:rsidR="00CD013C" w:rsidRPr="00330421">
        <w:instrText xml:space="preserve"> DOCPROPERTY  PWThreadMemo  \* MERGEFORMAT </w:instrText>
      </w:r>
      <w:r w:rsidRPr="0061422E">
        <w:fldChar w:fldCharType="separate"/>
      </w:r>
      <w:r w:rsidR="00D3095C" w:rsidRPr="00330421">
        <w:rPr>
          <w:szCs w:val="21"/>
        </w:rPr>
        <w:t>EN(19)140:1</w:t>
      </w:r>
      <w:r w:rsidRPr="00CD013C">
        <w:rPr>
          <w:szCs w:val="21"/>
        </w:rPr>
        <w:fldChar w:fldCharType="end"/>
      </w:r>
    </w:p>
    <w:p w:rsidR="00330421" w:rsidRPr="00866066" w:rsidRDefault="00330421" w:rsidP="00266930">
      <w:pPr>
        <w:spacing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COPA i COGECA w sprawie zmian klimatu:</w:t>
      </w:r>
    </w:p>
    <w:p w:rsidR="00330421" w:rsidRPr="00866066" w:rsidRDefault="00330421" w:rsidP="00266930">
      <w:pPr>
        <w:spacing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Rolnicy, właściciele lasów i ich spółdzielnie są mistrzami w wychwytywaniu i sekwestracji dwutlenku węgla </w:t>
      </w:r>
    </w:p>
    <w:p w:rsidR="00330421" w:rsidRDefault="00330421" w:rsidP="00266930">
      <w:pPr>
        <w:spacing w:after="120"/>
        <w:jc w:val="both"/>
        <w:rPr>
          <w:b/>
        </w:rPr>
      </w:pPr>
    </w:p>
    <w:p w:rsidR="00330421" w:rsidRDefault="00330421" w:rsidP="00266930">
      <w:pPr>
        <w:spacing w:after="120"/>
        <w:jc w:val="both"/>
      </w:pPr>
      <w:r>
        <w:t xml:space="preserve">To przede wszystkim europejscy rolnicy, właściciele lasów i ich spółdzielnie w swojej codziennej pracy muszą zmagać się ze zmianami klimatu. Z tego powodu, angażujemy się we wdrażanie porozumienia paryskiego i </w:t>
      </w:r>
      <w:r w:rsidR="00A67F2E">
        <w:t xml:space="preserve">wspieramy jego realizację, uważając je za </w:t>
      </w:r>
      <w:r>
        <w:t>zasadniczą część europejskiego i świ</w:t>
      </w:r>
      <w:r w:rsidR="00D136C8">
        <w:t xml:space="preserve">atowego programu politycznego. </w:t>
      </w:r>
      <w:r>
        <w:t>Rolnictwo i leśnictwo są nieodzownymi partnerami dążącymi do osiągnięcia celu porozumienia paryskiego. Oczywistym jest fakt, że rolnictwo i leśnictwo to jedyne sektory gospodarki będące w stanie usunąć dwutlenek węgla z atmosfery poprzez fotosyntezę.</w:t>
      </w:r>
    </w:p>
    <w:p w:rsidR="00330421" w:rsidRDefault="00330421" w:rsidP="00266930">
      <w:pPr>
        <w:spacing w:after="120"/>
        <w:jc w:val="both"/>
      </w:pPr>
      <w:r>
        <w:t xml:space="preserve">Znaczenie przeciwdziałania zmianom klimatu oraz jego </w:t>
      </w:r>
      <w:r w:rsidR="00A67F2E">
        <w:t xml:space="preserve">powiązania </w:t>
      </w:r>
      <w:r>
        <w:t>z rolnictwem są wyraźnie uwzględnione w prawnie wiążącym zakresie porozumienia paryskiego. W tym względzie bardzo istotne jest zrozumienie, że rolnicy są głównymi producentami żywności, oraz że zapewniają bezpieczeństwo</w:t>
      </w:r>
      <w:r w:rsidR="00A67F2E">
        <w:t xml:space="preserve"> żywnościowe</w:t>
      </w:r>
      <w:r>
        <w:t xml:space="preserve">. Ich rola musi być postrzegana całościowo, </w:t>
      </w:r>
      <w:r w:rsidR="00A67F2E">
        <w:t>z uwzględnieniem tej,</w:t>
      </w:r>
      <w:r w:rsidR="00266930">
        <w:t xml:space="preserve"> </w:t>
      </w:r>
      <w:r>
        <w:t>jaką odgrywają w ograniczaniu emisji, zwiększaniu absorpcji oraz adaptacji do zmian klimatu.</w:t>
      </w:r>
    </w:p>
    <w:p w:rsidR="00330421" w:rsidRDefault="00330421" w:rsidP="00266930">
      <w:pPr>
        <w:spacing w:after="120"/>
        <w:jc w:val="both"/>
      </w:pPr>
      <w:r>
        <w:t xml:space="preserve">Praca z naturą wymaga </w:t>
      </w:r>
      <w:r w:rsidR="004F0777">
        <w:t xml:space="preserve">mierzenia </w:t>
      </w:r>
      <w:r>
        <w:t xml:space="preserve">się z procesami, których nie </w:t>
      </w:r>
      <w:r w:rsidR="004F0777">
        <w:t>jesteśmy w stanie w pełni</w:t>
      </w:r>
      <w:r>
        <w:t xml:space="preserve"> kontrolować czy zmieni</w:t>
      </w:r>
      <w:r w:rsidR="004F0777">
        <w:t>a</w:t>
      </w:r>
      <w:r>
        <w:t>ć. Rolnicy, właściciele lasów i ich spółdzielnie polepszają swoją wydajność</w:t>
      </w:r>
      <w:r w:rsidR="004F0777">
        <w:t>,</w:t>
      </w:r>
      <w:r>
        <w:t xml:space="preserve"> zacieśniając jednocześnie związek między łagodzeniem skutków a adaptacją - </w:t>
      </w:r>
      <w:r w:rsidR="004F0777">
        <w:t>robili to</w:t>
      </w:r>
      <w:r>
        <w:t xml:space="preserve"> jeszcze zanim </w:t>
      </w:r>
      <w:r w:rsidR="004F0777">
        <w:t xml:space="preserve">pojawiła się </w:t>
      </w:r>
      <w:r>
        <w:t>koncepcja gospodarki o obiegu z</w:t>
      </w:r>
      <w:r w:rsidR="00D136C8">
        <w:t xml:space="preserve">amkniętym. </w:t>
      </w:r>
      <w:r>
        <w:t xml:space="preserve">W przypadku rolnictwa i leśnictwa kwestia adaptacji zyskuje na </w:t>
      </w:r>
      <w:r w:rsidR="004F0777">
        <w:t xml:space="preserve">znaczeniu </w:t>
      </w:r>
      <w:r>
        <w:t xml:space="preserve">w związku z coraz częstszym występowaniem ekstremalnych warunków pogodowych. Pojedyncze reakcje na </w:t>
      </w:r>
      <w:r w:rsidR="004F0777">
        <w:t>tego typu zjawiska klimatyczne są istotne</w:t>
      </w:r>
      <w:r>
        <w:t xml:space="preserve">, lecz niewystarczające. Niezbędna jest </w:t>
      </w:r>
      <w:r w:rsidR="004F0777">
        <w:t xml:space="preserve">stworzenie </w:t>
      </w:r>
      <w:r>
        <w:t>strategi</w:t>
      </w:r>
      <w:r w:rsidR="004F0777">
        <w:t>i</w:t>
      </w:r>
      <w:r>
        <w:t xml:space="preserve"> długoterminow</w:t>
      </w:r>
      <w:r w:rsidR="004F0777">
        <w:t>ej</w:t>
      </w:r>
      <w:r>
        <w:t>.</w:t>
      </w:r>
    </w:p>
    <w:p w:rsidR="00330421" w:rsidRDefault="00330421" w:rsidP="00266930">
      <w:pPr>
        <w:spacing w:after="120"/>
        <w:jc w:val="both"/>
      </w:pPr>
      <w:r>
        <w:t xml:space="preserve">Rolnictwo i leśnictwo </w:t>
      </w:r>
      <w:r w:rsidR="004F0777">
        <w:t xml:space="preserve">są </w:t>
      </w:r>
      <w:r>
        <w:t>częś</w:t>
      </w:r>
      <w:r w:rsidR="004F0777">
        <w:t>cią</w:t>
      </w:r>
      <w:r>
        <w:t xml:space="preserve"> rozwiązania służącego łagodzeniu skutków zmian klimatu. Jesteśmy przekonani, że nasza przyszłoś</w:t>
      </w:r>
      <w:r w:rsidR="00D136C8">
        <w:t xml:space="preserve">ć opiera się na </w:t>
      </w:r>
      <w:proofErr w:type="spellStart"/>
      <w:r w:rsidR="00D136C8">
        <w:t>biogospodarce</w:t>
      </w:r>
      <w:proofErr w:type="spellEnd"/>
      <w:r w:rsidR="00D136C8">
        <w:t>, d</w:t>
      </w:r>
      <w:r>
        <w:t xml:space="preserve">latego też rola rolników oraz właścicieli lasów musi być bardziej uznawana. </w:t>
      </w:r>
    </w:p>
    <w:p w:rsidR="00330421" w:rsidRDefault="00330421" w:rsidP="00266930">
      <w:pPr>
        <w:spacing w:after="120"/>
        <w:jc w:val="both"/>
      </w:pPr>
      <w:r>
        <w:t xml:space="preserve">Aby w pełni wykorzystać potencjał naszego sektora, decydenci muszą </w:t>
      </w:r>
      <w:r w:rsidR="004F0777">
        <w:t xml:space="preserve">prezentować </w:t>
      </w:r>
      <w:r>
        <w:t xml:space="preserve">bardziej kompleksowe podejście odnoszące się do całego cyklu węglowego. </w:t>
      </w:r>
      <w:r w:rsidR="004F0777">
        <w:t>Należy uwzględniać</w:t>
      </w:r>
      <w:r>
        <w:t xml:space="preserve"> synergie pomiędzy sektorami </w:t>
      </w:r>
      <w:r w:rsidR="004F0777">
        <w:t>i</w:t>
      </w:r>
      <w:r>
        <w:t xml:space="preserve"> systemami rolnymi</w:t>
      </w:r>
      <w:r w:rsidR="00211920">
        <w:t>, a nie tylko</w:t>
      </w:r>
      <w:r w:rsidR="00266930">
        <w:t xml:space="preserve"> </w:t>
      </w:r>
      <w:r>
        <w:t xml:space="preserve">ich indywidualny wkład. Każdy </w:t>
      </w:r>
      <w:r w:rsidR="00211920">
        <w:t>proponowany środek</w:t>
      </w:r>
      <w:r>
        <w:t xml:space="preserve"> polity</w:t>
      </w:r>
      <w:r w:rsidR="00211920">
        <w:t>czny</w:t>
      </w:r>
      <w:r>
        <w:t xml:space="preserve"> musi uwzględniać szeroko rozumiane usługi, które rolnicy i właściciele lasów świadczą na rzecz społeczeństwa, tj. wychwytywanie i składowanie dwutlenku węgla w glebie, produkowanie zrównoważonej energii, dostarczanie materiałów pochodzenia biologicznego itd.</w:t>
      </w:r>
    </w:p>
    <w:p w:rsidR="00330421" w:rsidRDefault="00330421" w:rsidP="00266930">
      <w:pPr>
        <w:spacing w:after="120"/>
        <w:jc w:val="both"/>
      </w:pPr>
      <w:r>
        <w:t>Wśród innych polityk, WPR odgrywa kluczową rolę oraz dostarcza całościow</w:t>
      </w:r>
      <w:r w:rsidR="00211920">
        <w:t>ych</w:t>
      </w:r>
      <w:r>
        <w:t xml:space="preserve"> i długoterminow</w:t>
      </w:r>
      <w:r w:rsidR="00211920">
        <w:t>ych</w:t>
      </w:r>
      <w:r>
        <w:t xml:space="preserve"> rozwiąza</w:t>
      </w:r>
      <w:r w:rsidR="00211920">
        <w:t xml:space="preserve">ń, które </w:t>
      </w:r>
      <w:r>
        <w:t>pomaga</w:t>
      </w:r>
      <w:r w:rsidR="00211920">
        <w:t>ją</w:t>
      </w:r>
      <w:r>
        <w:t xml:space="preserve"> europejskim rolnikom w ciągłej redukcji emisji. Od roku 1990 udało nam się zredukować emisję gazów cieplarnianych o ponad 20% przy jednoczesnym zwiększeniu produktywności i jakości żywności. Europejskie rolnictwo staje się coraz bardziej zrównoważone, a fakt ten jest uznawany na poziomie międzynarodowym. WPR zapewnia wysokie standardy środowiskowe i </w:t>
      </w:r>
      <w:r w:rsidR="00211920">
        <w:t>produkcyjne</w:t>
      </w:r>
      <w:r>
        <w:t>, a ponadto przewiduje zachęty dla rolników. W głównej mierze zawdzięczamy to wspólnym zasadom obowiązującym we wszystkich państwach członkowskich Unii Europejskiej.</w:t>
      </w:r>
    </w:p>
    <w:p w:rsidR="00330421" w:rsidRDefault="00330421" w:rsidP="00266930">
      <w:pPr>
        <w:spacing w:after="120"/>
        <w:jc w:val="both"/>
      </w:pPr>
      <w:r>
        <w:lastRenderedPageBreak/>
        <w:t xml:space="preserve">Aby móc w pełni korzystać zarówno z tradycyjnych jak i innowacyjnych technologii i metod produkcji, Unia Europejska musi zapewnić spójność polityki. Innowacyjne technologie mogą dodatkowo </w:t>
      </w:r>
      <w:r w:rsidR="00211920">
        <w:t xml:space="preserve">usprawnić </w:t>
      </w:r>
      <w:r>
        <w:t xml:space="preserve">procesy chemiczne i mikrobiologiczne oraz </w:t>
      </w:r>
      <w:r w:rsidR="00696FDB">
        <w:t xml:space="preserve">zoptymalizować gospodarkę węgla w glebie. </w:t>
      </w:r>
      <w:r>
        <w:t xml:space="preserve">. Zwiększenie produkcji przy </w:t>
      </w:r>
      <w:r w:rsidR="00696FDB">
        <w:t xml:space="preserve">jednoczesnym zmniejszeniu </w:t>
      </w:r>
      <w:r>
        <w:t>nakład</w:t>
      </w:r>
      <w:r w:rsidR="00696FDB">
        <w:t>ów</w:t>
      </w:r>
      <w:r>
        <w:t xml:space="preserve"> również przyczynia się do polepszenia naszej konkurencyjności na poziomie gospodarczym.</w:t>
      </w:r>
    </w:p>
    <w:p w:rsidR="0068231C" w:rsidRPr="00330421" w:rsidRDefault="00330421" w:rsidP="00266930">
      <w:pPr>
        <w:spacing w:after="120"/>
        <w:jc w:val="both"/>
      </w:pPr>
      <w:r>
        <w:t>Europejscy rolnicy, właściciele lasów i ich spółdzielnie naprawdę mogą stać się mistrzami w wychwytywaniu i sekwestracji dwutlenku węgla. Wzywamy instytucje europejskie do zapewnienia spójności polityki oraz do umożliwienia</w:t>
      </w:r>
      <w:r w:rsidR="00696FDB">
        <w:t xml:space="preserve"> realizacji</w:t>
      </w:r>
      <w:r>
        <w:t xml:space="preserve"> prywatn</w:t>
      </w:r>
      <w:r w:rsidR="00696FDB">
        <w:t>ych</w:t>
      </w:r>
      <w:r>
        <w:t xml:space="preserve"> i publiczn</w:t>
      </w:r>
      <w:r w:rsidR="00696FDB">
        <w:t>ych</w:t>
      </w:r>
      <w:r>
        <w:t xml:space="preserve"> inwest</w:t>
      </w:r>
      <w:r w:rsidR="00696FDB">
        <w:t xml:space="preserve">ycji, które będą wspierać </w:t>
      </w:r>
      <w:r>
        <w:t>działania na rzecz klimatu. Zrównoważony wzrost gospodar</w:t>
      </w:r>
      <w:r w:rsidR="00D136C8">
        <w:t>czy i handlowy może wybudować</w:t>
      </w:r>
      <w:r>
        <w:t xml:space="preserve"> most pomiędzy różnymi częściami świata, przy jednoczesnej promocji wydajnych</w:t>
      </w:r>
      <w:r w:rsidR="00696FDB">
        <w:t xml:space="preserve"> -</w:t>
      </w:r>
      <w:r>
        <w:t xml:space="preserve"> pod względem klimatycznym </w:t>
      </w:r>
      <w:r w:rsidR="00696FDB">
        <w:t xml:space="preserve">- </w:t>
      </w:r>
      <w:r>
        <w:t>europejskich produktów i standardów. Promocja ta przyczyniłaby się to do stymulacji wzrostu, który w zamian zapewniłby społeczności rolniczej adekwatne przychody.</w:t>
      </w:r>
    </w:p>
    <w:sectPr w:rsidR="0068231C" w:rsidRPr="00330421" w:rsidSect="00476655">
      <w:footerReference w:type="default" r:id="rId6"/>
      <w:headerReference w:type="first" r:id="rId7"/>
      <w:footerReference w:type="first" r:id="rId8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F01" w:rsidRDefault="002D5F01">
      <w:r>
        <w:separator/>
      </w:r>
    </w:p>
  </w:endnote>
  <w:endnote w:type="continuationSeparator" w:id="0">
    <w:p w:rsidR="002D5F01" w:rsidRDefault="002D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06" w:rsidRDefault="0061422E">
    <w:pPr>
      <w:pStyle w:val="Page"/>
      <w:framePr w:wrap="around"/>
    </w:pPr>
    <w:r>
      <w:fldChar w:fldCharType="begin"/>
    </w:r>
    <w:r w:rsidR="004E215F">
      <w:instrText xml:space="preserve"> PAGE  \* Arabic  \* MERGEFORMAT </w:instrText>
    </w:r>
    <w:r>
      <w:fldChar w:fldCharType="separate"/>
    </w:r>
    <w:r w:rsidR="00B803B5">
      <w:rPr>
        <w:noProof/>
      </w:rPr>
      <w:t>2</w:t>
    </w:r>
    <w:r>
      <w:fldChar w:fldCharType="end"/>
    </w:r>
  </w:p>
  <w:p w:rsidR="00975206" w:rsidRDefault="00975206">
    <w:pPr>
      <w:pStyle w:val="NumPage"/>
      <w:framePr w:wrap="around"/>
    </w:pPr>
    <w:r>
      <w:t xml:space="preserve">| </w:t>
    </w:r>
    <w:r w:rsidR="0061422E">
      <w:fldChar w:fldCharType="begin"/>
    </w:r>
    <w:r w:rsidR="00224F96">
      <w:instrText xml:space="preserve"> NUMPAGES  \* Arabic  \* MERGEFORMAT </w:instrText>
    </w:r>
    <w:r w:rsidR="0061422E">
      <w:fldChar w:fldCharType="separate"/>
    </w:r>
    <w:r w:rsidR="00B803B5">
      <w:rPr>
        <w:noProof/>
      </w:rPr>
      <w:t>2</w:t>
    </w:r>
    <w:r w:rsidR="0061422E">
      <w:fldChar w:fldCharType="end"/>
    </w:r>
  </w:p>
  <w:p w:rsidR="00975206" w:rsidRDefault="0097520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46694A" w:rsidRPr="00B8517C" w:rsidTr="002D3ACC">
      <w:tc>
        <w:tcPr>
          <w:tcW w:w="7769" w:type="dxa"/>
          <w:shd w:val="clear" w:color="auto" w:fill="auto"/>
        </w:tcPr>
        <w:p w:rsidR="0046694A" w:rsidRPr="00924975" w:rsidRDefault="0046694A" w:rsidP="002D3ACC">
          <w:pPr>
            <w:pStyle w:val="Pieddepage"/>
          </w:pPr>
          <w:r>
            <w:rPr>
              <w:b/>
            </w:rPr>
            <w:t>Copa - Cogeca |</w:t>
          </w:r>
          <w:r>
            <w:t xml:space="preserve"> Europejscy Rolnicy Europejskie Spółdzielnie Rolnicze</w:t>
          </w:r>
        </w:p>
        <w:p w:rsidR="0046694A" w:rsidRPr="00D136C8" w:rsidRDefault="0046694A" w:rsidP="002D3ACC">
          <w:pPr>
            <w:pStyle w:val="Pieddepage"/>
            <w:rPr>
              <w:lang w:val="fr-BE"/>
            </w:rPr>
          </w:pPr>
          <w:r w:rsidRPr="00D136C8">
            <w:rPr>
              <w:lang w:val="fr-BE"/>
            </w:rPr>
            <w:t xml:space="preserve">61, Rue de Trèves | B - 1040 Bruxelles | www.copa-cogeca.eu </w:t>
          </w:r>
        </w:p>
        <w:p w:rsidR="0046694A" w:rsidRPr="0046694A" w:rsidRDefault="00B8517C" w:rsidP="002D3ACC">
          <w:pPr>
            <w:pStyle w:val="Pieddepage"/>
          </w:pPr>
          <w:r>
            <w:t>Numer rejestru służącego przejrzystości UE  | Copa 44856881231-49  | Cogeca 09586631237-74</w:t>
          </w:r>
        </w:p>
      </w:tc>
    </w:tr>
  </w:tbl>
  <w:p w:rsidR="0046694A" w:rsidRPr="0046694A" w:rsidRDefault="0046694A" w:rsidP="0046694A">
    <w:pPr>
      <w:pStyle w:val="Pieddepage"/>
    </w:pPr>
  </w:p>
  <w:p w:rsidR="00975206" w:rsidRPr="0046694A" w:rsidRDefault="00975206" w:rsidP="004669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F01" w:rsidRDefault="002D5F01">
      <w:r>
        <w:separator/>
      </w:r>
    </w:p>
  </w:footnote>
  <w:footnote w:type="continuationSeparator" w:id="0">
    <w:p w:rsidR="002D5F01" w:rsidRDefault="002D5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185E0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En-tte"/>
          </w:pPr>
        </w:p>
      </w:tc>
      <w:tc>
        <w:tcPr>
          <w:tcW w:w="3775" w:type="dxa"/>
          <w:shd w:val="clear" w:color="auto" w:fill="auto"/>
        </w:tcPr>
        <w:p w:rsidR="00975206" w:rsidRPr="00AB75D0" w:rsidRDefault="0061422E" w:rsidP="00185E06">
          <w:pPr>
            <w:pStyle w:val="En-tte"/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5pt">
                <v:imagedata r:id="rId1" o:title="CopaCogeca_4C_C"/>
              </v:shape>
            </w:pict>
          </w:r>
        </w:p>
      </w:tc>
    </w:tr>
  </w:tbl>
  <w:p w:rsidR="00975206" w:rsidRDefault="0061422E">
    <w:pPr>
      <w:pStyle w:val="En-tte"/>
    </w:pPr>
    <w:r w:rsidRPr="0061422E">
      <w:pict>
        <v:line id="_x0000_s2050" style="position:absolute;z-index:251658240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 w:rsidRPr="0061422E">
      <w:pict>
        <v:line id="_x0000_s2049" style="position:absolute;z-index:251657216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DAF"/>
    <w:rsid w:val="00034CB1"/>
    <w:rsid w:val="0009185F"/>
    <w:rsid w:val="000A4F0E"/>
    <w:rsid w:val="00101C5F"/>
    <w:rsid w:val="00122636"/>
    <w:rsid w:val="00145381"/>
    <w:rsid w:val="00160602"/>
    <w:rsid w:val="001808C6"/>
    <w:rsid w:val="00185E06"/>
    <w:rsid w:val="001D2686"/>
    <w:rsid w:val="0020404E"/>
    <w:rsid w:val="00211920"/>
    <w:rsid w:val="00224F96"/>
    <w:rsid w:val="00266930"/>
    <w:rsid w:val="002A3645"/>
    <w:rsid w:val="002D5F01"/>
    <w:rsid w:val="002E2D9E"/>
    <w:rsid w:val="003060BB"/>
    <w:rsid w:val="00311618"/>
    <w:rsid w:val="00330421"/>
    <w:rsid w:val="00367C78"/>
    <w:rsid w:val="003805F2"/>
    <w:rsid w:val="003D6C0D"/>
    <w:rsid w:val="003E092C"/>
    <w:rsid w:val="00405810"/>
    <w:rsid w:val="0046694A"/>
    <w:rsid w:val="00476655"/>
    <w:rsid w:val="00482325"/>
    <w:rsid w:val="00497C27"/>
    <w:rsid w:val="004A3027"/>
    <w:rsid w:val="004C04DD"/>
    <w:rsid w:val="004D0E92"/>
    <w:rsid w:val="004E215F"/>
    <w:rsid w:val="004F0777"/>
    <w:rsid w:val="004F4A01"/>
    <w:rsid w:val="00516BB0"/>
    <w:rsid w:val="00532438"/>
    <w:rsid w:val="00583A1E"/>
    <w:rsid w:val="00595C23"/>
    <w:rsid w:val="0061422E"/>
    <w:rsid w:val="00624E83"/>
    <w:rsid w:val="0063298C"/>
    <w:rsid w:val="006610DC"/>
    <w:rsid w:val="006637F6"/>
    <w:rsid w:val="0068231C"/>
    <w:rsid w:val="00696FDB"/>
    <w:rsid w:val="006A12AA"/>
    <w:rsid w:val="006E0325"/>
    <w:rsid w:val="007047C0"/>
    <w:rsid w:val="00726DAF"/>
    <w:rsid w:val="00761EDE"/>
    <w:rsid w:val="007832AC"/>
    <w:rsid w:val="00783AEB"/>
    <w:rsid w:val="00785A03"/>
    <w:rsid w:val="007B07FF"/>
    <w:rsid w:val="007F5534"/>
    <w:rsid w:val="00801521"/>
    <w:rsid w:val="00810426"/>
    <w:rsid w:val="00821EA2"/>
    <w:rsid w:val="00833341"/>
    <w:rsid w:val="00844715"/>
    <w:rsid w:val="008637A1"/>
    <w:rsid w:val="0086518E"/>
    <w:rsid w:val="00867ABB"/>
    <w:rsid w:val="008C00D2"/>
    <w:rsid w:val="008F5AE6"/>
    <w:rsid w:val="009109F9"/>
    <w:rsid w:val="00972CFB"/>
    <w:rsid w:val="00975206"/>
    <w:rsid w:val="009A2C6A"/>
    <w:rsid w:val="009D0EC2"/>
    <w:rsid w:val="00A13CDE"/>
    <w:rsid w:val="00A27C10"/>
    <w:rsid w:val="00A3711E"/>
    <w:rsid w:val="00A64E3A"/>
    <w:rsid w:val="00A67F2E"/>
    <w:rsid w:val="00A852E5"/>
    <w:rsid w:val="00A90D91"/>
    <w:rsid w:val="00A90DE6"/>
    <w:rsid w:val="00AB75D0"/>
    <w:rsid w:val="00AC1890"/>
    <w:rsid w:val="00AE14BE"/>
    <w:rsid w:val="00B362AF"/>
    <w:rsid w:val="00B40168"/>
    <w:rsid w:val="00B4483B"/>
    <w:rsid w:val="00B4731A"/>
    <w:rsid w:val="00B64EE0"/>
    <w:rsid w:val="00B73741"/>
    <w:rsid w:val="00B803B5"/>
    <w:rsid w:val="00B80946"/>
    <w:rsid w:val="00B8517C"/>
    <w:rsid w:val="00BC4E7B"/>
    <w:rsid w:val="00BE2219"/>
    <w:rsid w:val="00C2536A"/>
    <w:rsid w:val="00C36CA3"/>
    <w:rsid w:val="00C672A3"/>
    <w:rsid w:val="00C8725E"/>
    <w:rsid w:val="00C90695"/>
    <w:rsid w:val="00CD013C"/>
    <w:rsid w:val="00CD06D3"/>
    <w:rsid w:val="00CD1BFF"/>
    <w:rsid w:val="00CD2156"/>
    <w:rsid w:val="00CD5024"/>
    <w:rsid w:val="00CE56DB"/>
    <w:rsid w:val="00CF0E0F"/>
    <w:rsid w:val="00D136C8"/>
    <w:rsid w:val="00D3095C"/>
    <w:rsid w:val="00D34C9E"/>
    <w:rsid w:val="00D63CD9"/>
    <w:rsid w:val="00E07163"/>
    <w:rsid w:val="00E101AC"/>
    <w:rsid w:val="00E45B89"/>
    <w:rsid w:val="00E93C20"/>
    <w:rsid w:val="00EB3B00"/>
    <w:rsid w:val="00EE3021"/>
    <w:rsid w:val="00EE6393"/>
    <w:rsid w:val="00F41755"/>
    <w:rsid w:val="00F56364"/>
    <w:rsid w:val="00F85B2A"/>
    <w:rsid w:val="00FD7702"/>
    <w:rsid w:val="00FE1538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628E2B-E6E6-425B-953A-E8EC72EC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A3027"/>
    <w:pPr>
      <w:spacing w:line="260" w:lineRule="atLeast"/>
    </w:pPr>
    <w:rPr>
      <w:rFonts w:ascii="Georgia" w:hAnsi="Georgia"/>
      <w:kern w:val="4"/>
      <w:sz w:val="21"/>
      <w:szCs w:val="24"/>
      <w:lang w:val="pl-PL" w:eastAsia="de-DE"/>
    </w:rPr>
  </w:style>
  <w:style w:type="paragraph" w:styleId="Titre1">
    <w:name w:val="heading 1"/>
    <w:basedOn w:val="Normal"/>
    <w:next w:val="Normal"/>
    <w:qFormat/>
    <w:rsid w:val="00D63CD9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Titre2">
    <w:name w:val="heading 2"/>
    <w:basedOn w:val="Titre1"/>
    <w:next w:val="Normal"/>
    <w:qFormat/>
    <w:rsid w:val="00D63CD9"/>
    <w:pPr>
      <w:ind w:left="720" w:hanging="720"/>
      <w:outlineLvl w:val="1"/>
    </w:pPr>
    <w:rPr>
      <w:i/>
      <w:caps w:val="0"/>
    </w:rPr>
  </w:style>
  <w:style w:type="paragraph" w:styleId="Titre3">
    <w:name w:val="heading 3"/>
    <w:basedOn w:val="Titre2"/>
    <w:next w:val="Normal"/>
    <w:qFormat/>
    <w:rsid w:val="00D63CD9"/>
    <w:pPr>
      <w:ind w:left="1440"/>
      <w:outlineLvl w:val="2"/>
    </w:pPr>
    <w:rPr>
      <w:i w:val="0"/>
      <w:sz w:val="21"/>
    </w:rPr>
  </w:style>
  <w:style w:type="paragraph" w:styleId="Titre4">
    <w:name w:val="heading 4"/>
    <w:basedOn w:val="Titre3"/>
    <w:next w:val="Normal"/>
    <w:qFormat/>
    <w:rsid w:val="00F41755"/>
    <w:pPr>
      <w:outlineLvl w:val="3"/>
    </w:pPr>
  </w:style>
  <w:style w:type="paragraph" w:styleId="Titre5">
    <w:name w:val="heading 5"/>
    <w:basedOn w:val="Titre4"/>
    <w:next w:val="Titre4"/>
    <w:qFormat/>
    <w:rsid w:val="00F41755"/>
    <w:pPr>
      <w:outlineLvl w:val="4"/>
    </w:pPr>
  </w:style>
  <w:style w:type="paragraph" w:styleId="Titre6">
    <w:name w:val="heading 6"/>
    <w:basedOn w:val="Titre5"/>
    <w:next w:val="Normal"/>
    <w:qFormat/>
    <w:rsid w:val="00F41755"/>
    <w:pPr>
      <w:outlineLvl w:val="5"/>
    </w:pPr>
  </w:style>
  <w:style w:type="paragraph" w:styleId="Titre7">
    <w:name w:val="heading 7"/>
    <w:basedOn w:val="Titre6"/>
    <w:next w:val="Normal"/>
    <w:qFormat/>
    <w:rsid w:val="00F41755"/>
    <w:pPr>
      <w:outlineLvl w:val="6"/>
    </w:pPr>
  </w:style>
  <w:style w:type="paragraph" w:styleId="Titre8">
    <w:name w:val="heading 8"/>
    <w:basedOn w:val="Titre7"/>
    <w:next w:val="Normal"/>
    <w:qFormat/>
    <w:rsid w:val="00F41755"/>
    <w:pPr>
      <w:outlineLvl w:val="7"/>
    </w:pPr>
  </w:style>
  <w:style w:type="paragraph" w:styleId="Titre9">
    <w:name w:val="heading 9"/>
    <w:basedOn w:val="Titre8"/>
    <w:next w:val="Normal"/>
    <w:qFormat/>
    <w:rsid w:val="00F41755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26DA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Grilledutableau">
    <w:name w:val="Table Grid"/>
    <w:basedOn w:val="TableauNorma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l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l"/>
    <w:rsid w:val="00F41755"/>
    <w:rPr>
      <w:b/>
    </w:rPr>
  </w:style>
  <w:style w:type="paragraph" w:customStyle="1" w:styleId="white">
    <w:name w:val="white"/>
    <w:basedOn w:val="Normal"/>
    <w:rsid w:val="00726DAF"/>
    <w:pPr>
      <w:spacing w:line="240" w:lineRule="auto"/>
    </w:pPr>
    <w:rPr>
      <w:color w:val="FFFFFF"/>
      <w:sz w:val="2"/>
      <w:szCs w:val="2"/>
    </w:rPr>
  </w:style>
  <w:style w:type="paragraph" w:styleId="Textedebulles">
    <w:name w:val="Balloon Text"/>
    <w:basedOn w:val="Normal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80946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l"/>
    <w:rsid w:val="00F41755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F41755"/>
    <w:pPr>
      <w:tabs>
        <w:tab w:val="left" w:pos="5103"/>
      </w:tabs>
      <w:ind w:left="0"/>
    </w:pPr>
  </w:style>
  <w:style w:type="paragraph" w:customStyle="1" w:styleId="FaxHeader">
    <w:name w:val="Fax Header"/>
    <w:basedOn w:val="Normal"/>
    <w:next w:val="Normal"/>
    <w:rsid w:val="00F41755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Titre">
    <w:name w:val="Title"/>
    <w:basedOn w:val="Normal"/>
    <w:qFormat/>
    <w:rsid w:val="00D63CD9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Sous-titre">
    <w:name w:val="Subtitle"/>
    <w:basedOn w:val="Titre"/>
    <w:qFormat/>
    <w:rsid w:val="00D63CD9"/>
    <w:pPr>
      <w:spacing w:before="0"/>
    </w:pPr>
    <w:rPr>
      <w:bCs/>
      <w:i/>
      <w:sz w:val="28"/>
    </w:rPr>
  </w:style>
  <w:style w:type="character" w:styleId="Lienhypertexte">
    <w:name w:val="Hyperlink"/>
    <w:rsid w:val="00B73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Letter</vt:lpstr>
    </vt:vector>
  </TitlesOfParts>
  <Company>Copa-Cogeca - European Farmers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Florence Brouxhon</cp:lastModifiedBy>
  <cp:revision>2</cp:revision>
  <cp:lastPrinted>2009-07-28T13:50:00Z</cp:lastPrinted>
  <dcterms:created xsi:type="dcterms:W3CDTF">2019-01-16T09:44:00Z</dcterms:created>
  <dcterms:modified xsi:type="dcterms:W3CDTF">2019-01-16T09:44:00Z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EN(19)140:2</vt:lpwstr>
  </property>
</Properties>
</file>